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B8EC3" w14:textId="360E213B" w:rsidR="00D826C1" w:rsidRPr="00FF60D9" w:rsidRDefault="000E512C" w:rsidP="00FF60D9">
      <w:pPr>
        <w:spacing w:line="480" w:lineRule="auto"/>
        <w:jc w:val="center"/>
        <w:rPr>
          <w:rFonts w:ascii="Arial" w:hAnsi="Arial" w:cs="Arial"/>
        </w:rPr>
      </w:pPr>
      <w:r>
        <w:rPr>
          <w:rFonts w:ascii="Arial" w:hAnsi="Arial" w:cs="Arial"/>
          <w:b/>
        </w:rPr>
        <w:t>Selective D</w:t>
      </w:r>
      <w:bookmarkStart w:id="0" w:name="_GoBack"/>
      <w:bookmarkEnd w:id="0"/>
      <w:r>
        <w:rPr>
          <w:rFonts w:ascii="Arial" w:hAnsi="Arial" w:cs="Arial"/>
          <w:b/>
        </w:rPr>
        <w:t>uty</w:t>
      </w:r>
      <w:r w:rsidR="00585EFD" w:rsidRPr="00FF60D9">
        <w:rPr>
          <w:rFonts w:ascii="Arial" w:hAnsi="Arial" w:cs="Arial"/>
          <w:b/>
        </w:rPr>
        <w:t>:</w:t>
      </w:r>
      <w:r w:rsidR="007A1A6C" w:rsidRPr="00FF60D9">
        <w:rPr>
          <w:rFonts w:ascii="Arial" w:hAnsi="Arial" w:cs="Arial"/>
          <w:b/>
        </w:rPr>
        <w:t xml:space="preserve"> </w:t>
      </w:r>
      <w:r w:rsidR="007A1A6C" w:rsidRPr="00FF60D9">
        <w:rPr>
          <w:rFonts w:ascii="Arial" w:hAnsi="Arial" w:cs="Arial"/>
        </w:rPr>
        <w:t>How the US Coast Guard</w:t>
      </w:r>
      <w:r w:rsidR="00585EFD" w:rsidRPr="00FF60D9">
        <w:rPr>
          <w:rFonts w:ascii="Arial" w:hAnsi="Arial" w:cs="Arial"/>
        </w:rPr>
        <w:t xml:space="preserve">’s </w:t>
      </w:r>
      <w:r w:rsidR="00C8389F" w:rsidRPr="00FF60D9">
        <w:rPr>
          <w:rFonts w:ascii="Arial" w:hAnsi="Arial" w:cs="Arial"/>
        </w:rPr>
        <w:t xml:space="preserve">Policy </w:t>
      </w:r>
      <w:r w:rsidR="00C8389F">
        <w:rPr>
          <w:rFonts w:ascii="Arial" w:hAnsi="Arial" w:cs="Arial"/>
        </w:rPr>
        <w:t>Neglects</w:t>
      </w:r>
      <w:r w:rsidR="00C8389F" w:rsidRPr="00FF60D9">
        <w:rPr>
          <w:rFonts w:ascii="Arial" w:hAnsi="Arial" w:cs="Arial"/>
        </w:rPr>
        <w:t xml:space="preserve"> Victims </w:t>
      </w:r>
      <w:r w:rsidR="00C8389F">
        <w:rPr>
          <w:rFonts w:ascii="Arial" w:hAnsi="Arial" w:cs="Arial"/>
        </w:rPr>
        <w:t>o</w:t>
      </w:r>
      <w:r w:rsidR="00C8389F" w:rsidRPr="00FF60D9">
        <w:rPr>
          <w:rFonts w:ascii="Arial" w:hAnsi="Arial" w:cs="Arial"/>
        </w:rPr>
        <w:t xml:space="preserve">f </w:t>
      </w:r>
      <w:r w:rsidR="00C7185A" w:rsidRPr="00FF60D9">
        <w:rPr>
          <w:rFonts w:ascii="Arial" w:hAnsi="Arial" w:cs="Arial"/>
        </w:rPr>
        <w:t>Intimate Partner Violence</w:t>
      </w:r>
      <w:r w:rsidR="00585EFD" w:rsidRPr="00FF60D9">
        <w:rPr>
          <w:rFonts w:ascii="Arial" w:hAnsi="Arial" w:cs="Arial"/>
        </w:rPr>
        <w:t xml:space="preserve"> </w:t>
      </w:r>
      <w:r w:rsidR="00C8389F" w:rsidRPr="00FF60D9">
        <w:rPr>
          <w:rFonts w:ascii="Arial" w:hAnsi="Arial" w:cs="Arial"/>
        </w:rPr>
        <w:t xml:space="preserve">While Providing Robust Resources </w:t>
      </w:r>
      <w:r w:rsidR="00C8389F">
        <w:rPr>
          <w:rFonts w:ascii="Arial" w:hAnsi="Arial" w:cs="Arial"/>
        </w:rPr>
        <w:t>f</w:t>
      </w:r>
      <w:r w:rsidR="00C8389F" w:rsidRPr="00FF60D9">
        <w:rPr>
          <w:rFonts w:ascii="Arial" w:hAnsi="Arial" w:cs="Arial"/>
        </w:rPr>
        <w:t xml:space="preserve">or Survivors </w:t>
      </w:r>
      <w:r w:rsidR="00C8389F">
        <w:rPr>
          <w:rFonts w:ascii="Arial" w:hAnsi="Arial" w:cs="Arial"/>
        </w:rPr>
        <w:t>o</w:t>
      </w:r>
      <w:r w:rsidR="00C8389F" w:rsidRPr="00FF60D9">
        <w:rPr>
          <w:rFonts w:ascii="Arial" w:hAnsi="Arial" w:cs="Arial"/>
        </w:rPr>
        <w:t>f Sexual Assault.</w:t>
      </w:r>
    </w:p>
    <w:p w14:paraId="7CA6630F" w14:textId="77777777" w:rsidR="003C48D7" w:rsidRPr="00FF60D9" w:rsidRDefault="003C48D7" w:rsidP="00FF60D9">
      <w:pPr>
        <w:spacing w:line="480" w:lineRule="auto"/>
        <w:jc w:val="center"/>
        <w:rPr>
          <w:rFonts w:ascii="Arial" w:hAnsi="Arial" w:cs="Arial"/>
        </w:rPr>
      </w:pPr>
    </w:p>
    <w:p w14:paraId="7AD0A871" w14:textId="5D0CCD09" w:rsidR="003A2E03" w:rsidRDefault="00DB6F75" w:rsidP="00C8389F">
      <w:pPr>
        <w:spacing w:line="480" w:lineRule="auto"/>
        <w:jc w:val="center"/>
        <w:rPr>
          <w:rFonts w:ascii="Arial" w:hAnsi="Arial" w:cs="Arial"/>
        </w:rPr>
      </w:pPr>
      <w:r w:rsidRPr="00FF60D9">
        <w:rPr>
          <w:rFonts w:ascii="Arial" w:hAnsi="Arial" w:cs="Arial"/>
        </w:rPr>
        <w:t>Emily Bienek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1255"/>
      </w:tblGrid>
      <w:tr w:rsidR="00C46EDF" w14:paraId="164BC851" w14:textId="77777777" w:rsidTr="00C8389F">
        <w:tc>
          <w:tcPr>
            <w:tcW w:w="8095" w:type="dxa"/>
          </w:tcPr>
          <w:p w14:paraId="7E3062ED" w14:textId="0F2CB544" w:rsidR="00C46EDF" w:rsidRPr="00C46EDF" w:rsidRDefault="00C46EDF" w:rsidP="00C8389F">
            <w:pPr>
              <w:pStyle w:val="ListParagraph"/>
              <w:numPr>
                <w:ilvl w:val="0"/>
                <w:numId w:val="21"/>
              </w:numPr>
              <w:spacing w:line="480" w:lineRule="auto"/>
              <w:rPr>
                <w:rFonts w:ascii="Arial" w:hAnsi="Arial" w:cs="Arial"/>
              </w:rPr>
            </w:pPr>
            <w:r>
              <w:rPr>
                <w:rFonts w:ascii="Arial" w:hAnsi="Arial" w:cs="Arial"/>
              </w:rPr>
              <w:t>Introduction</w:t>
            </w:r>
          </w:p>
        </w:tc>
        <w:tc>
          <w:tcPr>
            <w:tcW w:w="1255" w:type="dxa"/>
          </w:tcPr>
          <w:p w14:paraId="215007E6" w14:textId="74492DB4" w:rsidR="00C46EDF" w:rsidRDefault="00C8389F" w:rsidP="00C8389F">
            <w:pPr>
              <w:spacing w:line="480" w:lineRule="auto"/>
              <w:jc w:val="center"/>
              <w:rPr>
                <w:rFonts w:ascii="Arial" w:hAnsi="Arial" w:cs="Arial"/>
              </w:rPr>
            </w:pPr>
            <w:r>
              <w:rPr>
                <w:rFonts w:ascii="Arial" w:hAnsi="Arial" w:cs="Arial"/>
              </w:rPr>
              <w:t>3</w:t>
            </w:r>
          </w:p>
        </w:tc>
      </w:tr>
      <w:tr w:rsidR="00C46EDF" w14:paraId="79327B4E" w14:textId="77777777" w:rsidTr="00C8389F">
        <w:tc>
          <w:tcPr>
            <w:tcW w:w="8095" w:type="dxa"/>
          </w:tcPr>
          <w:p w14:paraId="74508305" w14:textId="3DB46FCB" w:rsidR="00C46EDF" w:rsidRPr="00C46EDF" w:rsidRDefault="00C46EDF" w:rsidP="00C8389F">
            <w:pPr>
              <w:pStyle w:val="ListParagraph"/>
              <w:numPr>
                <w:ilvl w:val="0"/>
                <w:numId w:val="21"/>
              </w:numPr>
              <w:spacing w:line="480" w:lineRule="auto"/>
              <w:rPr>
                <w:rFonts w:ascii="Arial" w:hAnsi="Arial" w:cs="Arial"/>
              </w:rPr>
            </w:pPr>
            <w:r>
              <w:rPr>
                <w:rFonts w:ascii="Arial" w:hAnsi="Arial" w:cs="Arial"/>
              </w:rPr>
              <w:t>What is Intimate Partner Violence</w:t>
            </w:r>
          </w:p>
        </w:tc>
        <w:tc>
          <w:tcPr>
            <w:tcW w:w="1255" w:type="dxa"/>
          </w:tcPr>
          <w:p w14:paraId="4FBF4E7A" w14:textId="52D9456C" w:rsidR="00C46EDF" w:rsidRDefault="00C8389F" w:rsidP="00C8389F">
            <w:pPr>
              <w:spacing w:line="480" w:lineRule="auto"/>
              <w:jc w:val="center"/>
              <w:rPr>
                <w:rFonts w:ascii="Arial" w:hAnsi="Arial" w:cs="Arial"/>
              </w:rPr>
            </w:pPr>
            <w:r>
              <w:rPr>
                <w:rFonts w:ascii="Arial" w:hAnsi="Arial" w:cs="Arial"/>
              </w:rPr>
              <w:t>6</w:t>
            </w:r>
          </w:p>
        </w:tc>
      </w:tr>
      <w:tr w:rsidR="00C46EDF" w14:paraId="2259C4EB" w14:textId="77777777" w:rsidTr="00C8389F">
        <w:tc>
          <w:tcPr>
            <w:tcW w:w="8095" w:type="dxa"/>
          </w:tcPr>
          <w:p w14:paraId="20B14923" w14:textId="50547593" w:rsidR="00C46EDF" w:rsidRPr="00C46EDF" w:rsidRDefault="00C46EDF" w:rsidP="00C8389F">
            <w:pPr>
              <w:pStyle w:val="ListParagraph"/>
              <w:numPr>
                <w:ilvl w:val="0"/>
                <w:numId w:val="22"/>
              </w:numPr>
              <w:spacing w:line="480" w:lineRule="auto"/>
              <w:ind w:left="1050"/>
              <w:rPr>
                <w:rFonts w:ascii="Arial" w:hAnsi="Arial" w:cs="Arial"/>
              </w:rPr>
            </w:pPr>
            <w:r>
              <w:rPr>
                <w:rFonts w:ascii="Arial" w:hAnsi="Arial" w:cs="Arial"/>
              </w:rPr>
              <w:t>Generally</w:t>
            </w:r>
          </w:p>
        </w:tc>
        <w:tc>
          <w:tcPr>
            <w:tcW w:w="1255" w:type="dxa"/>
          </w:tcPr>
          <w:p w14:paraId="4C4F8979" w14:textId="323FC0EE" w:rsidR="00C46EDF" w:rsidRDefault="00C8389F" w:rsidP="00C8389F">
            <w:pPr>
              <w:spacing w:line="480" w:lineRule="auto"/>
              <w:jc w:val="center"/>
              <w:rPr>
                <w:rFonts w:ascii="Arial" w:hAnsi="Arial" w:cs="Arial"/>
              </w:rPr>
            </w:pPr>
            <w:r>
              <w:rPr>
                <w:rFonts w:ascii="Arial" w:hAnsi="Arial" w:cs="Arial"/>
              </w:rPr>
              <w:t>6</w:t>
            </w:r>
          </w:p>
        </w:tc>
      </w:tr>
      <w:tr w:rsidR="00C46EDF" w14:paraId="4E169ABC" w14:textId="77777777" w:rsidTr="00C8389F">
        <w:tc>
          <w:tcPr>
            <w:tcW w:w="8095" w:type="dxa"/>
          </w:tcPr>
          <w:p w14:paraId="68E43CAB" w14:textId="076711D1" w:rsidR="00C46EDF" w:rsidRPr="00C46EDF" w:rsidRDefault="00C46EDF" w:rsidP="00C8389F">
            <w:pPr>
              <w:pStyle w:val="ListParagraph"/>
              <w:numPr>
                <w:ilvl w:val="0"/>
                <w:numId w:val="22"/>
              </w:numPr>
              <w:spacing w:line="480" w:lineRule="auto"/>
              <w:ind w:left="1050"/>
              <w:rPr>
                <w:rFonts w:ascii="Arial" w:hAnsi="Arial" w:cs="Arial"/>
              </w:rPr>
            </w:pPr>
            <w:r>
              <w:rPr>
                <w:rFonts w:ascii="Arial" w:hAnsi="Arial" w:cs="Arial"/>
              </w:rPr>
              <w:t>Definitions</w:t>
            </w:r>
          </w:p>
        </w:tc>
        <w:tc>
          <w:tcPr>
            <w:tcW w:w="1255" w:type="dxa"/>
          </w:tcPr>
          <w:p w14:paraId="16F84909" w14:textId="3DBDB7C4" w:rsidR="00C46EDF" w:rsidRDefault="00C8389F" w:rsidP="00C8389F">
            <w:pPr>
              <w:spacing w:line="480" w:lineRule="auto"/>
              <w:jc w:val="center"/>
              <w:rPr>
                <w:rFonts w:ascii="Arial" w:hAnsi="Arial" w:cs="Arial"/>
              </w:rPr>
            </w:pPr>
            <w:r>
              <w:rPr>
                <w:rFonts w:ascii="Arial" w:hAnsi="Arial" w:cs="Arial"/>
              </w:rPr>
              <w:t>9</w:t>
            </w:r>
          </w:p>
        </w:tc>
      </w:tr>
      <w:tr w:rsidR="00C46EDF" w14:paraId="1EADE4AA" w14:textId="77777777" w:rsidTr="00C8389F">
        <w:tc>
          <w:tcPr>
            <w:tcW w:w="8095" w:type="dxa"/>
          </w:tcPr>
          <w:p w14:paraId="543B0E8A" w14:textId="25107F52" w:rsidR="00C46EDF" w:rsidRPr="00C46EDF" w:rsidRDefault="00C46EDF" w:rsidP="00C8389F">
            <w:pPr>
              <w:pStyle w:val="ListParagraph"/>
              <w:numPr>
                <w:ilvl w:val="0"/>
                <w:numId w:val="22"/>
              </w:numPr>
              <w:spacing w:line="480" w:lineRule="auto"/>
              <w:ind w:left="1050"/>
              <w:rPr>
                <w:rFonts w:ascii="Arial" w:hAnsi="Arial" w:cs="Arial"/>
              </w:rPr>
            </w:pPr>
            <w:r w:rsidRPr="00C46EDF">
              <w:rPr>
                <w:rFonts w:ascii="Arial" w:hAnsi="Arial" w:cs="Arial"/>
              </w:rPr>
              <w:t>Rates in the General Population</w:t>
            </w:r>
          </w:p>
        </w:tc>
        <w:tc>
          <w:tcPr>
            <w:tcW w:w="1255" w:type="dxa"/>
          </w:tcPr>
          <w:p w14:paraId="78A9A1B7" w14:textId="60307322" w:rsidR="00C46EDF" w:rsidRDefault="00C8389F" w:rsidP="00C8389F">
            <w:pPr>
              <w:spacing w:line="480" w:lineRule="auto"/>
              <w:jc w:val="center"/>
              <w:rPr>
                <w:rFonts w:ascii="Arial" w:hAnsi="Arial" w:cs="Arial"/>
              </w:rPr>
            </w:pPr>
            <w:r>
              <w:rPr>
                <w:rFonts w:ascii="Arial" w:hAnsi="Arial" w:cs="Arial"/>
              </w:rPr>
              <w:t>10</w:t>
            </w:r>
          </w:p>
        </w:tc>
      </w:tr>
      <w:tr w:rsidR="00C46EDF" w14:paraId="4067866F" w14:textId="77777777" w:rsidTr="00C8389F">
        <w:tc>
          <w:tcPr>
            <w:tcW w:w="8095" w:type="dxa"/>
          </w:tcPr>
          <w:p w14:paraId="102A18EA" w14:textId="1C70F81D" w:rsidR="00C46EDF" w:rsidRPr="00C46EDF" w:rsidRDefault="00C46EDF" w:rsidP="00C8389F">
            <w:pPr>
              <w:pStyle w:val="ListParagraph"/>
              <w:numPr>
                <w:ilvl w:val="0"/>
                <w:numId w:val="22"/>
              </w:numPr>
              <w:spacing w:line="480" w:lineRule="auto"/>
              <w:ind w:left="1050"/>
              <w:rPr>
                <w:rFonts w:ascii="Arial" w:hAnsi="Arial" w:cs="Arial"/>
              </w:rPr>
            </w:pPr>
            <w:r>
              <w:rPr>
                <w:rFonts w:ascii="Arial" w:hAnsi="Arial" w:cs="Arial"/>
              </w:rPr>
              <w:t>Rates in the Military Population</w:t>
            </w:r>
          </w:p>
        </w:tc>
        <w:tc>
          <w:tcPr>
            <w:tcW w:w="1255" w:type="dxa"/>
          </w:tcPr>
          <w:p w14:paraId="3A0A839A" w14:textId="434BD402" w:rsidR="00C46EDF" w:rsidRDefault="00C8389F" w:rsidP="00C8389F">
            <w:pPr>
              <w:spacing w:line="480" w:lineRule="auto"/>
              <w:jc w:val="center"/>
              <w:rPr>
                <w:rFonts w:ascii="Arial" w:hAnsi="Arial" w:cs="Arial"/>
              </w:rPr>
            </w:pPr>
            <w:r>
              <w:rPr>
                <w:rFonts w:ascii="Arial" w:hAnsi="Arial" w:cs="Arial"/>
              </w:rPr>
              <w:t>13</w:t>
            </w:r>
          </w:p>
        </w:tc>
      </w:tr>
      <w:tr w:rsidR="00C46EDF" w14:paraId="1E29BFFD" w14:textId="77777777" w:rsidTr="00C8389F">
        <w:tc>
          <w:tcPr>
            <w:tcW w:w="8095" w:type="dxa"/>
          </w:tcPr>
          <w:p w14:paraId="5E9D21D8" w14:textId="6C019DBE" w:rsidR="00C46EDF" w:rsidRPr="00C46EDF" w:rsidRDefault="00C46EDF" w:rsidP="00C8389F">
            <w:pPr>
              <w:pStyle w:val="ListParagraph"/>
              <w:numPr>
                <w:ilvl w:val="0"/>
                <w:numId w:val="21"/>
              </w:numPr>
              <w:spacing w:line="480" w:lineRule="auto"/>
              <w:rPr>
                <w:rFonts w:ascii="Arial" w:hAnsi="Arial" w:cs="Arial"/>
              </w:rPr>
            </w:pPr>
            <w:r>
              <w:rPr>
                <w:rFonts w:ascii="Arial" w:hAnsi="Arial" w:cs="Arial"/>
              </w:rPr>
              <w:t>Overlap in Circumstances Among Survivors</w:t>
            </w:r>
          </w:p>
        </w:tc>
        <w:tc>
          <w:tcPr>
            <w:tcW w:w="1255" w:type="dxa"/>
          </w:tcPr>
          <w:p w14:paraId="4D284D49" w14:textId="75213AA2" w:rsidR="00C46EDF" w:rsidRDefault="00C8389F" w:rsidP="00C8389F">
            <w:pPr>
              <w:spacing w:line="480" w:lineRule="auto"/>
              <w:jc w:val="center"/>
              <w:rPr>
                <w:rFonts w:ascii="Arial" w:hAnsi="Arial" w:cs="Arial"/>
              </w:rPr>
            </w:pPr>
            <w:r>
              <w:rPr>
                <w:rFonts w:ascii="Arial" w:hAnsi="Arial" w:cs="Arial"/>
              </w:rPr>
              <w:t>19</w:t>
            </w:r>
          </w:p>
        </w:tc>
      </w:tr>
      <w:tr w:rsidR="00C46EDF" w14:paraId="4E07D346" w14:textId="77777777" w:rsidTr="00C8389F">
        <w:tc>
          <w:tcPr>
            <w:tcW w:w="8095" w:type="dxa"/>
          </w:tcPr>
          <w:p w14:paraId="42B717EA" w14:textId="19A8A7AC" w:rsidR="00C46EDF" w:rsidRPr="00C46EDF" w:rsidRDefault="00C46EDF" w:rsidP="00C8389F">
            <w:pPr>
              <w:pStyle w:val="ListParagraph"/>
              <w:numPr>
                <w:ilvl w:val="0"/>
                <w:numId w:val="21"/>
              </w:numPr>
              <w:spacing w:line="480" w:lineRule="auto"/>
              <w:rPr>
                <w:rFonts w:ascii="Arial" w:hAnsi="Arial" w:cs="Arial"/>
              </w:rPr>
            </w:pPr>
            <w:r>
              <w:rPr>
                <w:rFonts w:ascii="Arial" w:hAnsi="Arial" w:cs="Arial"/>
              </w:rPr>
              <w:t>Laws and Programs</w:t>
            </w:r>
          </w:p>
        </w:tc>
        <w:tc>
          <w:tcPr>
            <w:tcW w:w="1255" w:type="dxa"/>
          </w:tcPr>
          <w:p w14:paraId="051D3F08" w14:textId="3C050B45" w:rsidR="00C46EDF" w:rsidRDefault="00C8389F" w:rsidP="00C8389F">
            <w:pPr>
              <w:spacing w:line="480" w:lineRule="auto"/>
              <w:jc w:val="center"/>
              <w:rPr>
                <w:rFonts w:ascii="Arial" w:hAnsi="Arial" w:cs="Arial"/>
              </w:rPr>
            </w:pPr>
            <w:r>
              <w:rPr>
                <w:rFonts w:ascii="Arial" w:hAnsi="Arial" w:cs="Arial"/>
              </w:rPr>
              <w:t>22</w:t>
            </w:r>
          </w:p>
        </w:tc>
      </w:tr>
      <w:tr w:rsidR="00C46EDF" w14:paraId="3889995C" w14:textId="77777777" w:rsidTr="00C8389F">
        <w:tc>
          <w:tcPr>
            <w:tcW w:w="8095" w:type="dxa"/>
          </w:tcPr>
          <w:p w14:paraId="60BC09D9" w14:textId="4F5887A2" w:rsidR="00C46EDF" w:rsidRPr="00C46EDF" w:rsidRDefault="00C46EDF" w:rsidP="00C8389F">
            <w:pPr>
              <w:pStyle w:val="ListParagraph"/>
              <w:numPr>
                <w:ilvl w:val="0"/>
                <w:numId w:val="23"/>
              </w:numPr>
              <w:spacing w:line="480" w:lineRule="auto"/>
              <w:ind w:left="1050"/>
              <w:rPr>
                <w:rFonts w:ascii="Arial" w:hAnsi="Arial" w:cs="Arial"/>
              </w:rPr>
            </w:pPr>
            <w:r>
              <w:rPr>
                <w:rFonts w:ascii="Arial" w:hAnsi="Arial" w:cs="Arial"/>
              </w:rPr>
              <w:t>Uniform Code of Military Justice</w:t>
            </w:r>
          </w:p>
        </w:tc>
        <w:tc>
          <w:tcPr>
            <w:tcW w:w="1255" w:type="dxa"/>
          </w:tcPr>
          <w:p w14:paraId="28D2C2D8" w14:textId="1307A1A6" w:rsidR="00C46EDF" w:rsidRDefault="00C8389F" w:rsidP="00C8389F">
            <w:pPr>
              <w:spacing w:line="480" w:lineRule="auto"/>
              <w:jc w:val="center"/>
              <w:rPr>
                <w:rFonts w:ascii="Arial" w:hAnsi="Arial" w:cs="Arial"/>
              </w:rPr>
            </w:pPr>
            <w:r>
              <w:rPr>
                <w:rFonts w:ascii="Arial" w:hAnsi="Arial" w:cs="Arial"/>
              </w:rPr>
              <w:t>22</w:t>
            </w:r>
          </w:p>
        </w:tc>
      </w:tr>
      <w:tr w:rsidR="00C46EDF" w14:paraId="65041B9F" w14:textId="77777777" w:rsidTr="00C8389F">
        <w:tc>
          <w:tcPr>
            <w:tcW w:w="8095" w:type="dxa"/>
          </w:tcPr>
          <w:p w14:paraId="11CD1D71" w14:textId="5D101877" w:rsidR="00C46EDF" w:rsidRPr="00C46EDF" w:rsidRDefault="00C46EDF" w:rsidP="00C8389F">
            <w:pPr>
              <w:pStyle w:val="ListParagraph"/>
              <w:numPr>
                <w:ilvl w:val="0"/>
                <w:numId w:val="23"/>
              </w:numPr>
              <w:spacing w:line="480" w:lineRule="auto"/>
              <w:ind w:left="1050"/>
              <w:rPr>
                <w:rFonts w:ascii="Arial" w:hAnsi="Arial" w:cs="Arial"/>
              </w:rPr>
            </w:pPr>
            <w:r>
              <w:rPr>
                <w:rFonts w:ascii="Arial" w:hAnsi="Arial" w:cs="Arial"/>
              </w:rPr>
              <w:t>Sexual Assault and Response Program</w:t>
            </w:r>
          </w:p>
        </w:tc>
        <w:tc>
          <w:tcPr>
            <w:tcW w:w="1255" w:type="dxa"/>
          </w:tcPr>
          <w:p w14:paraId="04EF2250" w14:textId="103EC90A" w:rsidR="00C46EDF" w:rsidRDefault="00C8389F" w:rsidP="00C8389F">
            <w:pPr>
              <w:spacing w:line="480" w:lineRule="auto"/>
              <w:jc w:val="center"/>
              <w:rPr>
                <w:rFonts w:ascii="Arial" w:hAnsi="Arial" w:cs="Arial"/>
              </w:rPr>
            </w:pPr>
            <w:r>
              <w:rPr>
                <w:rFonts w:ascii="Arial" w:hAnsi="Arial" w:cs="Arial"/>
              </w:rPr>
              <w:t>22</w:t>
            </w:r>
          </w:p>
        </w:tc>
      </w:tr>
      <w:tr w:rsidR="00C46EDF" w14:paraId="0F32AE88" w14:textId="77777777" w:rsidTr="00C8389F">
        <w:tc>
          <w:tcPr>
            <w:tcW w:w="8095" w:type="dxa"/>
          </w:tcPr>
          <w:p w14:paraId="69A48451" w14:textId="5288E35E" w:rsidR="00C46EDF" w:rsidRPr="00C46EDF" w:rsidRDefault="00C46EDF" w:rsidP="00C8389F">
            <w:pPr>
              <w:pStyle w:val="ListParagraph"/>
              <w:numPr>
                <w:ilvl w:val="0"/>
                <w:numId w:val="24"/>
              </w:numPr>
              <w:spacing w:line="480" w:lineRule="auto"/>
              <w:ind w:left="1410"/>
              <w:rPr>
                <w:rFonts w:ascii="Arial" w:hAnsi="Arial" w:cs="Arial"/>
              </w:rPr>
            </w:pPr>
            <w:r>
              <w:rPr>
                <w:rFonts w:ascii="Arial" w:hAnsi="Arial" w:cs="Arial"/>
              </w:rPr>
              <w:t>Sexual Assault Response Coordinator</w:t>
            </w:r>
          </w:p>
        </w:tc>
        <w:tc>
          <w:tcPr>
            <w:tcW w:w="1255" w:type="dxa"/>
          </w:tcPr>
          <w:p w14:paraId="6775044B" w14:textId="7F82CBE1" w:rsidR="00C46EDF" w:rsidRDefault="00C8389F" w:rsidP="00C8389F">
            <w:pPr>
              <w:spacing w:line="480" w:lineRule="auto"/>
              <w:jc w:val="center"/>
              <w:rPr>
                <w:rFonts w:ascii="Arial" w:hAnsi="Arial" w:cs="Arial"/>
              </w:rPr>
            </w:pPr>
            <w:r>
              <w:rPr>
                <w:rFonts w:ascii="Arial" w:hAnsi="Arial" w:cs="Arial"/>
              </w:rPr>
              <w:t>23</w:t>
            </w:r>
          </w:p>
        </w:tc>
      </w:tr>
      <w:tr w:rsidR="00C46EDF" w14:paraId="61F552F0" w14:textId="77777777" w:rsidTr="00C8389F">
        <w:tc>
          <w:tcPr>
            <w:tcW w:w="8095" w:type="dxa"/>
          </w:tcPr>
          <w:p w14:paraId="265E3F7F" w14:textId="25102CE5" w:rsidR="00C46EDF" w:rsidRPr="00C46EDF" w:rsidRDefault="00C46EDF" w:rsidP="00C8389F">
            <w:pPr>
              <w:pStyle w:val="ListParagraph"/>
              <w:numPr>
                <w:ilvl w:val="0"/>
                <w:numId w:val="24"/>
              </w:numPr>
              <w:spacing w:line="480" w:lineRule="auto"/>
              <w:ind w:left="1410"/>
              <w:rPr>
                <w:rFonts w:ascii="Arial" w:hAnsi="Arial" w:cs="Arial"/>
              </w:rPr>
            </w:pPr>
            <w:r>
              <w:rPr>
                <w:rFonts w:ascii="Arial" w:hAnsi="Arial" w:cs="Arial"/>
              </w:rPr>
              <w:t>Victim’s Advocate</w:t>
            </w:r>
          </w:p>
        </w:tc>
        <w:tc>
          <w:tcPr>
            <w:tcW w:w="1255" w:type="dxa"/>
          </w:tcPr>
          <w:p w14:paraId="08B6A56F" w14:textId="1DD857B5" w:rsidR="00C46EDF" w:rsidRDefault="00C8389F" w:rsidP="00C8389F">
            <w:pPr>
              <w:spacing w:line="480" w:lineRule="auto"/>
              <w:jc w:val="center"/>
              <w:rPr>
                <w:rFonts w:ascii="Arial" w:hAnsi="Arial" w:cs="Arial"/>
              </w:rPr>
            </w:pPr>
            <w:r>
              <w:rPr>
                <w:rFonts w:ascii="Arial" w:hAnsi="Arial" w:cs="Arial"/>
              </w:rPr>
              <w:t>23</w:t>
            </w:r>
          </w:p>
        </w:tc>
      </w:tr>
      <w:tr w:rsidR="00C46EDF" w14:paraId="6C898673" w14:textId="77777777" w:rsidTr="00C8389F">
        <w:tc>
          <w:tcPr>
            <w:tcW w:w="8095" w:type="dxa"/>
          </w:tcPr>
          <w:p w14:paraId="1B7BA332" w14:textId="2BAAEB0D" w:rsidR="00C46EDF" w:rsidRPr="00C46EDF" w:rsidRDefault="00C46EDF" w:rsidP="00C8389F">
            <w:pPr>
              <w:pStyle w:val="ListParagraph"/>
              <w:numPr>
                <w:ilvl w:val="0"/>
                <w:numId w:val="24"/>
              </w:numPr>
              <w:spacing w:line="480" w:lineRule="auto"/>
              <w:ind w:left="1410"/>
              <w:rPr>
                <w:rFonts w:ascii="Arial" w:hAnsi="Arial" w:cs="Arial"/>
              </w:rPr>
            </w:pPr>
            <w:r>
              <w:rPr>
                <w:rFonts w:ascii="Arial" w:hAnsi="Arial" w:cs="Arial"/>
              </w:rPr>
              <w:t>Restricted and Unrestricted Reporting</w:t>
            </w:r>
          </w:p>
        </w:tc>
        <w:tc>
          <w:tcPr>
            <w:tcW w:w="1255" w:type="dxa"/>
          </w:tcPr>
          <w:p w14:paraId="71307F1E" w14:textId="3D60E1AF" w:rsidR="00C46EDF" w:rsidRDefault="00C8389F" w:rsidP="00C8389F">
            <w:pPr>
              <w:spacing w:line="480" w:lineRule="auto"/>
              <w:jc w:val="center"/>
              <w:rPr>
                <w:rFonts w:ascii="Arial" w:hAnsi="Arial" w:cs="Arial"/>
              </w:rPr>
            </w:pPr>
            <w:r>
              <w:rPr>
                <w:rFonts w:ascii="Arial" w:hAnsi="Arial" w:cs="Arial"/>
              </w:rPr>
              <w:t>24</w:t>
            </w:r>
          </w:p>
        </w:tc>
      </w:tr>
      <w:tr w:rsidR="00C46EDF" w14:paraId="6A7FCF03" w14:textId="77777777" w:rsidTr="00C8389F">
        <w:tc>
          <w:tcPr>
            <w:tcW w:w="8095" w:type="dxa"/>
          </w:tcPr>
          <w:p w14:paraId="72F7E0FC" w14:textId="1682D8FF" w:rsidR="00C46EDF" w:rsidRPr="00C46EDF" w:rsidRDefault="00C46EDF" w:rsidP="00C8389F">
            <w:pPr>
              <w:pStyle w:val="ListParagraph"/>
              <w:numPr>
                <w:ilvl w:val="0"/>
                <w:numId w:val="24"/>
              </w:numPr>
              <w:spacing w:line="480" w:lineRule="auto"/>
              <w:ind w:left="1410"/>
              <w:rPr>
                <w:rFonts w:ascii="Arial" w:hAnsi="Arial" w:cs="Arial"/>
              </w:rPr>
            </w:pPr>
            <w:r>
              <w:rPr>
                <w:rFonts w:ascii="Arial" w:hAnsi="Arial" w:cs="Arial"/>
              </w:rPr>
              <w:t>Mandatory Reporting and Annual, Mandated Training</w:t>
            </w:r>
          </w:p>
        </w:tc>
        <w:tc>
          <w:tcPr>
            <w:tcW w:w="1255" w:type="dxa"/>
          </w:tcPr>
          <w:p w14:paraId="2A7F2373" w14:textId="4BC0E63F" w:rsidR="00C46EDF" w:rsidRDefault="00C8389F" w:rsidP="00C8389F">
            <w:pPr>
              <w:spacing w:line="480" w:lineRule="auto"/>
              <w:jc w:val="center"/>
              <w:rPr>
                <w:rFonts w:ascii="Arial" w:hAnsi="Arial" w:cs="Arial"/>
              </w:rPr>
            </w:pPr>
            <w:r>
              <w:rPr>
                <w:rFonts w:ascii="Arial" w:hAnsi="Arial" w:cs="Arial"/>
              </w:rPr>
              <w:t>25</w:t>
            </w:r>
          </w:p>
        </w:tc>
      </w:tr>
      <w:tr w:rsidR="00C46EDF" w14:paraId="3A4BB12D" w14:textId="77777777" w:rsidTr="00C8389F">
        <w:tc>
          <w:tcPr>
            <w:tcW w:w="8095" w:type="dxa"/>
          </w:tcPr>
          <w:p w14:paraId="443596EF" w14:textId="718F5C7C" w:rsidR="00C46EDF" w:rsidRPr="00C46EDF" w:rsidRDefault="00C46EDF" w:rsidP="00C8389F">
            <w:pPr>
              <w:pStyle w:val="ListParagraph"/>
              <w:numPr>
                <w:ilvl w:val="0"/>
                <w:numId w:val="24"/>
              </w:numPr>
              <w:spacing w:line="480" w:lineRule="auto"/>
              <w:ind w:left="1410"/>
              <w:rPr>
                <w:rFonts w:ascii="Arial" w:hAnsi="Arial" w:cs="Arial"/>
              </w:rPr>
            </w:pPr>
            <w:r>
              <w:rPr>
                <w:rFonts w:ascii="Arial" w:hAnsi="Arial" w:cs="Arial"/>
              </w:rPr>
              <w:t>Special Victim’s Counsel</w:t>
            </w:r>
          </w:p>
        </w:tc>
        <w:tc>
          <w:tcPr>
            <w:tcW w:w="1255" w:type="dxa"/>
          </w:tcPr>
          <w:p w14:paraId="56EC176E" w14:textId="4E870833" w:rsidR="00C46EDF" w:rsidRDefault="00C8389F" w:rsidP="00C8389F">
            <w:pPr>
              <w:spacing w:line="480" w:lineRule="auto"/>
              <w:jc w:val="center"/>
              <w:rPr>
                <w:rFonts w:ascii="Arial" w:hAnsi="Arial" w:cs="Arial"/>
              </w:rPr>
            </w:pPr>
            <w:r>
              <w:rPr>
                <w:rFonts w:ascii="Arial" w:hAnsi="Arial" w:cs="Arial"/>
              </w:rPr>
              <w:t>25</w:t>
            </w:r>
          </w:p>
        </w:tc>
      </w:tr>
      <w:tr w:rsidR="00C46EDF" w14:paraId="013C689F" w14:textId="77777777" w:rsidTr="00C8389F">
        <w:tc>
          <w:tcPr>
            <w:tcW w:w="8095" w:type="dxa"/>
          </w:tcPr>
          <w:p w14:paraId="04D8D980" w14:textId="105D9611" w:rsidR="00C46EDF" w:rsidRPr="00C46EDF" w:rsidRDefault="00C46EDF" w:rsidP="00C8389F">
            <w:pPr>
              <w:pStyle w:val="ListParagraph"/>
              <w:numPr>
                <w:ilvl w:val="0"/>
                <w:numId w:val="24"/>
              </w:numPr>
              <w:spacing w:line="480" w:lineRule="auto"/>
              <w:ind w:left="1410"/>
              <w:rPr>
                <w:rFonts w:ascii="Arial" w:hAnsi="Arial" w:cs="Arial"/>
              </w:rPr>
            </w:pPr>
            <w:r>
              <w:rPr>
                <w:rFonts w:ascii="Arial" w:hAnsi="Arial" w:cs="Arial"/>
              </w:rPr>
              <w:t>Expedited Transfer</w:t>
            </w:r>
          </w:p>
        </w:tc>
        <w:tc>
          <w:tcPr>
            <w:tcW w:w="1255" w:type="dxa"/>
          </w:tcPr>
          <w:p w14:paraId="0E1CC84A" w14:textId="4C5E4729" w:rsidR="00C46EDF" w:rsidRDefault="00C8389F" w:rsidP="00C8389F">
            <w:pPr>
              <w:spacing w:line="480" w:lineRule="auto"/>
              <w:jc w:val="center"/>
              <w:rPr>
                <w:rFonts w:ascii="Arial" w:hAnsi="Arial" w:cs="Arial"/>
              </w:rPr>
            </w:pPr>
            <w:r>
              <w:rPr>
                <w:rFonts w:ascii="Arial" w:hAnsi="Arial" w:cs="Arial"/>
              </w:rPr>
              <w:t>26</w:t>
            </w:r>
          </w:p>
        </w:tc>
      </w:tr>
      <w:tr w:rsidR="00C46EDF" w14:paraId="2328B46E" w14:textId="77777777" w:rsidTr="00C8389F">
        <w:tc>
          <w:tcPr>
            <w:tcW w:w="8095" w:type="dxa"/>
          </w:tcPr>
          <w:p w14:paraId="2F6397C4" w14:textId="49188D3C" w:rsidR="00C46EDF" w:rsidRPr="00C46EDF" w:rsidRDefault="00C46EDF" w:rsidP="00C8389F">
            <w:pPr>
              <w:pStyle w:val="ListParagraph"/>
              <w:numPr>
                <w:ilvl w:val="0"/>
                <w:numId w:val="23"/>
              </w:numPr>
              <w:spacing w:line="480" w:lineRule="auto"/>
              <w:ind w:left="1050"/>
              <w:rPr>
                <w:rFonts w:ascii="Arial" w:hAnsi="Arial" w:cs="Arial"/>
              </w:rPr>
            </w:pPr>
            <w:r>
              <w:rPr>
                <w:rFonts w:ascii="Arial" w:hAnsi="Arial" w:cs="Arial"/>
              </w:rPr>
              <w:t>Family Advocacy Program</w:t>
            </w:r>
          </w:p>
        </w:tc>
        <w:tc>
          <w:tcPr>
            <w:tcW w:w="1255" w:type="dxa"/>
          </w:tcPr>
          <w:p w14:paraId="1AC2183E" w14:textId="260461B3" w:rsidR="00C46EDF" w:rsidRDefault="00C8389F" w:rsidP="00C8389F">
            <w:pPr>
              <w:spacing w:line="480" w:lineRule="auto"/>
              <w:jc w:val="center"/>
              <w:rPr>
                <w:rFonts w:ascii="Arial" w:hAnsi="Arial" w:cs="Arial"/>
              </w:rPr>
            </w:pPr>
            <w:r>
              <w:rPr>
                <w:rFonts w:ascii="Arial" w:hAnsi="Arial" w:cs="Arial"/>
              </w:rPr>
              <w:t>27</w:t>
            </w:r>
          </w:p>
        </w:tc>
      </w:tr>
      <w:tr w:rsidR="00C46EDF" w14:paraId="10E63558" w14:textId="77777777" w:rsidTr="00C8389F">
        <w:tc>
          <w:tcPr>
            <w:tcW w:w="8095" w:type="dxa"/>
          </w:tcPr>
          <w:p w14:paraId="6B9E9263" w14:textId="4132C9C1" w:rsidR="00C46EDF" w:rsidRPr="00C46EDF" w:rsidRDefault="00C46EDF" w:rsidP="00C8389F">
            <w:pPr>
              <w:pStyle w:val="ListParagraph"/>
              <w:numPr>
                <w:ilvl w:val="0"/>
                <w:numId w:val="25"/>
              </w:numPr>
              <w:spacing w:line="480" w:lineRule="auto"/>
              <w:ind w:left="1410"/>
              <w:rPr>
                <w:rFonts w:ascii="Arial" w:hAnsi="Arial" w:cs="Arial"/>
              </w:rPr>
            </w:pPr>
            <w:r>
              <w:rPr>
                <w:rFonts w:ascii="Arial" w:hAnsi="Arial" w:cs="Arial"/>
              </w:rPr>
              <w:t>Restricted and Unrestricted Reporting</w:t>
            </w:r>
          </w:p>
        </w:tc>
        <w:tc>
          <w:tcPr>
            <w:tcW w:w="1255" w:type="dxa"/>
          </w:tcPr>
          <w:p w14:paraId="3D62C32C" w14:textId="76847DD0" w:rsidR="00C46EDF" w:rsidRDefault="00C8389F" w:rsidP="00C8389F">
            <w:pPr>
              <w:spacing w:line="480" w:lineRule="auto"/>
              <w:jc w:val="center"/>
              <w:rPr>
                <w:rFonts w:ascii="Arial" w:hAnsi="Arial" w:cs="Arial"/>
              </w:rPr>
            </w:pPr>
            <w:r>
              <w:rPr>
                <w:rFonts w:ascii="Arial" w:hAnsi="Arial" w:cs="Arial"/>
              </w:rPr>
              <w:t>27</w:t>
            </w:r>
          </w:p>
        </w:tc>
      </w:tr>
      <w:tr w:rsidR="00C46EDF" w14:paraId="23F90B01" w14:textId="77777777" w:rsidTr="00C8389F">
        <w:tc>
          <w:tcPr>
            <w:tcW w:w="8095" w:type="dxa"/>
          </w:tcPr>
          <w:p w14:paraId="6A9939F2" w14:textId="41CCEAAC" w:rsidR="00C46EDF" w:rsidRPr="00C46EDF" w:rsidRDefault="00C46EDF" w:rsidP="00C8389F">
            <w:pPr>
              <w:pStyle w:val="ListParagraph"/>
              <w:numPr>
                <w:ilvl w:val="0"/>
                <w:numId w:val="25"/>
              </w:numPr>
              <w:spacing w:line="480" w:lineRule="auto"/>
              <w:ind w:left="1500"/>
              <w:rPr>
                <w:rFonts w:ascii="Arial" w:hAnsi="Arial" w:cs="Arial"/>
              </w:rPr>
            </w:pPr>
            <w:r>
              <w:rPr>
                <w:rFonts w:ascii="Arial" w:hAnsi="Arial" w:cs="Arial"/>
              </w:rPr>
              <w:t>Mandatory Reporting</w:t>
            </w:r>
          </w:p>
        </w:tc>
        <w:tc>
          <w:tcPr>
            <w:tcW w:w="1255" w:type="dxa"/>
          </w:tcPr>
          <w:p w14:paraId="1350F5F9" w14:textId="0317DDE8" w:rsidR="00C46EDF" w:rsidRDefault="00C8389F" w:rsidP="00C8389F">
            <w:pPr>
              <w:spacing w:line="480" w:lineRule="auto"/>
              <w:jc w:val="center"/>
              <w:rPr>
                <w:rFonts w:ascii="Arial" w:hAnsi="Arial" w:cs="Arial"/>
              </w:rPr>
            </w:pPr>
            <w:r>
              <w:rPr>
                <w:rFonts w:ascii="Arial" w:hAnsi="Arial" w:cs="Arial"/>
              </w:rPr>
              <w:t>28</w:t>
            </w:r>
          </w:p>
        </w:tc>
      </w:tr>
      <w:tr w:rsidR="00C46EDF" w14:paraId="66076CB1" w14:textId="77777777" w:rsidTr="00C8389F">
        <w:tc>
          <w:tcPr>
            <w:tcW w:w="8095" w:type="dxa"/>
          </w:tcPr>
          <w:p w14:paraId="2427EC06" w14:textId="5668BE90" w:rsidR="00C46EDF" w:rsidRPr="00C46EDF" w:rsidRDefault="00C46EDF" w:rsidP="00C8389F">
            <w:pPr>
              <w:pStyle w:val="ListParagraph"/>
              <w:numPr>
                <w:ilvl w:val="0"/>
                <w:numId w:val="21"/>
              </w:numPr>
              <w:spacing w:line="480" w:lineRule="auto"/>
              <w:ind w:left="780" w:hanging="390"/>
              <w:rPr>
                <w:rFonts w:ascii="Arial" w:hAnsi="Arial" w:cs="Arial"/>
              </w:rPr>
            </w:pPr>
            <w:r>
              <w:rPr>
                <w:rFonts w:ascii="Arial" w:hAnsi="Arial" w:cs="Arial"/>
              </w:rPr>
              <w:lastRenderedPageBreak/>
              <w:t>Analysis</w:t>
            </w:r>
          </w:p>
        </w:tc>
        <w:tc>
          <w:tcPr>
            <w:tcW w:w="1255" w:type="dxa"/>
          </w:tcPr>
          <w:p w14:paraId="2A9660AC" w14:textId="56D0610F" w:rsidR="00C46EDF" w:rsidRDefault="00C8389F" w:rsidP="00C8389F">
            <w:pPr>
              <w:spacing w:line="480" w:lineRule="auto"/>
              <w:jc w:val="center"/>
              <w:rPr>
                <w:rFonts w:ascii="Arial" w:hAnsi="Arial" w:cs="Arial"/>
              </w:rPr>
            </w:pPr>
            <w:r>
              <w:rPr>
                <w:rFonts w:ascii="Arial" w:hAnsi="Arial" w:cs="Arial"/>
              </w:rPr>
              <w:t>30</w:t>
            </w:r>
          </w:p>
        </w:tc>
      </w:tr>
      <w:tr w:rsidR="00214C11" w14:paraId="76E193D6" w14:textId="77777777" w:rsidTr="00C8389F">
        <w:tc>
          <w:tcPr>
            <w:tcW w:w="8095" w:type="dxa"/>
          </w:tcPr>
          <w:p w14:paraId="687FDF39" w14:textId="11D50486" w:rsidR="00214C11" w:rsidRPr="00214C11" w:rsidRDefault="00214C11" w:rsidP="00C8389F">
            <w:pPr>
              <w:pStyle w:val="ListParagraph"/>
              <w:numPr>
                <w:ilvl w:val="0"/>
                <w:numId w:val="21"/>
              </w:numPr>
              <w:spacing w:line="480" w:lineRule="auto"/>
              <w:ind w:left="710" w:hanging="370"/>
              <w:rPr>
                <w:rFonts w:ascii="Arial" w:hAnsi="Arial" w:cs="Arial"/>
              </w:rPr>
            </w:pPr>
            <w:r w:rsidRPr="00214C11">
              <w:rPr>
                <w:rFonts w:ascii="Arial" w:hAnsi="Arial" w:cs="Arial"/>
              </w:rPr>
              <w:t>Recommendations</w:t>
            </w:r>
          </w:p>
        </w:tc>
        <w:tc>
          <w:tcPr>
            <w:tcW w:w="1255" w:type="dxa"/>
          </w:tcPr>
          <w:p w14:paraId="0CA37C3B" w14:textId="54D9A8C1" w:rsidR="00214C11" w:rsidRDefault="00C8389F" w:rsidP="00C8389F">
            <w:pPr>
              <w:spacing w:line="480" w:lineRule="auto"/>
              <w:jc w:val="center"/>
              <w:rPr>
                <w:rFonts w:ascii="Arial" w:hAnsi="Arial" w:cs="Arial"/>
              </w:rPr>
            </w:pPr>
            <w:r>
              <w:rPr>
                <w:rFonts w:ascii="Arial" w:hAnsi="Arial" w:cs="Arial"/>
              </w:rPr>
              <w:t>32</w:t>
            </w:r>
          </w:p>
        </w:tc>
      </w:tr>
      <w:tr w:rsidR="00214C11" w14:paraId="2D503DB6" w14:textId="77777777" w:rsidTr="00C8389F">
        <w:tc>
          <w:tcPr>
            <w:tcW w:w="8095" w:type="dxa"/>
          </w:tcPr>
          <w:p w14:paraId="46F15F9E" w14:textId="2B2EF9DE" w:rsidR="00214C11" w:rsidRDefault="00214C11" w:rsidP="00C8389F">
            <w:pPr>
              <w:pStyle w:val="ListParagraph"/>
              <w:numPr>
                <w:ilvl w:val="0"/>
                <w:numId w:val="21"/>
              </w:numPr>
              <w:spacing w:line="480" w:lineRule="auto"/>
              <w:ind w:left="710" w:hanging="390"/>
              <w:rPr>
                <w:rFonts w:ascii="Arial" w:hAnsi="Arial" w:cs="Arial"/>
              </w:rPr>
            </w:pPr>
            <w:r>
              <w:rPr>
                <w:rFonts w:ascii="Arial" w:hAnsi="Arial" w:cs="Arial"/>
              </w:rPr>
              <w:t>Conclusion</w:t>
            </w:r>
          </w:p>
        </w:tc>
        <w:tc>
          <w:tcPr>
            <w:tcW w:w="1255" w:type="dxa"/>
          </w:tcPr>
          <w:p w14:paraId="34EE1960" w14:textId="0E8E7A88" w:rsidR="00214C11" w:rsidRDefault="00C8389F" w:rsidP="00C8389F">
            <w:pPr>
              <w:spacing w:line="480" w:lineRule="auto"/>
              <w:jc w:val="center"/>
              <w:rPr>
                <w:rFonts w:ascii="Arial" w:hAnsi="Arial" w:cs="Arial"/>
              </w:rPr>
            </w:pPr>
            <w:r>
              <w:rPr>
                <w:rFonts w:ascii="Arial" w:hAnsi="Arial" w:cs="Arial"/>
              </w:rPr>
              <w:t>37</w:t>
            </w:r>
          </w:p>
        </w:tc>
      </w:tr>
      <w:tr w:rsidR="00214C11" w14:paraId="75D3262F" w14:textId="77777777" w:rsidTr="00C8389F">
        <w:tc>
          <w:tcPr>
            <w:tcW w:w="8095" w:type="dxa"/>
          </w:tcPr>
          <w:p w14:paraId="7A5C2DAE" w14:textId="77777777" w:rsidR="00214C11" w:rsidRPr="00214C11" w:rsidRDefault="00214C11" w:rsidP="00C8389F">
            <w:pPr>
              <w:spacing w:line="480" w:lineRule="auto"/>
              <w:rPr>
                <w:rFonts w:ascii="Arial" w:hAnsi="Arial" w:cs="Arial"/>
              </w:rPr>
            </w:pPr>
          </w:p>
        </w:tc>
        <w:tc>
          <w:tcPr>
            <w:tcW w:w="1255" w:type="dxa"/>
          </w:tcPr>
          <w:p w14:paraId="3D515FC0" w14:textId="77777777" w:rsidR="00214C11" w:rsidRDefault="00214C11" w:rsidP="00C8389F">
            <w:pPr>
              <w:spacing w:line="480" w:lineRule="auto"/>
              <w:jc w:val="center"/>
              <w:rPr>
                <w:rFonts w:ascii="Arial" w:hAnsi="Arial" w:cs="Arial"/>
              </w:rPr>
            </w:pPr>
          </w:p>
        </w:tc>
      </w:tr>
    </w:tbl>
    <w:p w14:paraId="4F22BBEB" w14:textId="5F8BCDE5" w:rsidR="00C46EDF" w:rsidRDefault="00C46EDF" w:rsidP="00FF60D9">
      <w:pPr>
        <w:spacing w:line="480" w:lineRule="auto"/>
        <w:jc w:val="center"/>
        <w:rPr>
          <w:rFonts w:ascii="Arial" w:hAnsi="Arial" w:cs="Arial"/>
        </w:rPr>
      </w:pPr>
    </w:p>
    <w:p w14:paraId="1166B2CB" w14:textId="2BE5DF1A" w:rsidR="00C8389F" w:rsidRDefault="00C8389F" w:rsidP="00FF60D9">
      <w:pPr>
        <w:spacing w:line="480" w:lineRule="auto"/>
        <w:jc w:val="center"/>
        <w:rPr>
          <w:rFonts w:ascii="Arial" w:hAnsi="Arial" w:cs="Arial"/>
        </w:rPr>
      </w:pPr>
    </w:p>
    <w:p w14:paraId="2CACBB9E" w14:textId="79A667B3" w:rsidR="00C8389F" w:rsidRDefault="00C8389F" w:rsidP="00FF60D9">
      <w:pPr>
        <w:spacing w:line="480" w:lineRule="auto"/>
        <w:jc w:val="center"/>
        <w:rPr>
          <w:rFonts w:ascii="Arial" w:hAnsi="Arial" w:cs="Arial"/>
        </w:rPr>
      </w:pPr>
    </w:p>
    <w:p w14:paraId="7FE52CEB" w14:textId="15F92CFC" w:rsidR="00C8389F" w:rsidRDefault="00C8389F" w:rsidP="00FF60D9">
      <w:pPr>
        <w:spacing w:line="480" w:lineRule="auto"/>
        <w:jc w:val="center"/>
        <w:rPr>
          <w:rFonts w:ascii="Arial" w:hAnsi="Arial" w:cs="Arial"/>
        </w:rPr>
      </w:pPr>
    </w:p>
    <w:p w14:paraId="133F6B88" w14:textId="030D0BCA" w:rsidR="00C8389F" w:rsidRDefault="00C8389F" w:rsidP="00FF60D9">
      <w:pPr>
        <w:spacing w:line="480" w:lineRule="auto"/>
        <w:jc w:val="center"/>
        <w:rPr>
          <w:rFonts w:ascii="Arial" w:hAnsi="Arial" w:cs="Arial"/>
        </w:rPr>
      </w:pPr>
    </w:p>
    <w:p w14:paraId="2689ED85" w14:textId="1469D672" w:rsidR="00C8389F" w:rsidRDefault="00C8389F" w:rsidP="00FF60D9">
      <w:pPr>
        <w:spacing w:line="480" w:lineRule="auto"/>
        <w:jc w:val="center"/>
        <w:rPr>
          <w:rFonts w:ascii="Arial" w:hAnsi="Arial" w:cs="Arial"/>
        </w:rPr>
      </w:pPr>
    </w:p>
    <w:p w14:paraId="3B5496B3" w14:textId="37262F37" w:rsidR="00C8389F" w:rsidRDefault="00C8389F" w:rsidP="00FF60D9">
      <w:pPr>
        <w:spacing w:line="480" w:lineRule="auto"/>
        <w:jc w:val="center"/>
        <w:rPr>
          <w:rFonts w:ascii="Arial" w:hAnsi="Arial" w:cs="Arial"/>
        </w:rPr>
      </w:pPr>
    </w:p>
    <w:p w14:paraId="4EEE10D2" w14:textId="1E0818D7" w:rsidR="00C8389F" w:rsidRDefault="00C8389F" w:rsidP="00FF60D9">
      <w:pPr>
        <w:spacing w:line="480" w:lineRule="auto"/>
        <w:jc w:val="center"/>
        <w:rPr>
          <w:rFonts w:ascii="Arial" w:hAnsi="Arial" w:cs="Arial"/>
        </w:rPr>
      </w:pPr>
    </w:p>
    <w:p w14:paraId="37ADADB3" w14:textId="1CED6B58" w:rsidR="00C8389F" w:rsidRDefault="00C8389F" w:rsidP="00FF60D9">
      <w:pPr>
        <w:spacing w:line="480" w:lineRule="auto"/>
        <w:jc w:val="center"/>
        <w:rPr>
          <w:rFonts w:ascii="Arial" w:hAnsi="Arial" w:cs="Arial"/>
        </w:rPr>
      </w:pPr>
    </w:p>
    <w:p w14:paraId="5B3BD51A" w14:textId="216B20E3" w:rsidR="00C8389F" w:rsidRDefault="00C8389F" w:rsidP="00FF60D9">
      <w:pPr>
        <w:spacing w:line="480" w:lineRule="auto"/>
        <w:jc w:val="center"/>
        <w:rPr>
          <w:rFonts w:ascii="Arial" w:hAnsi="Arial" w:cs="Arial"/>
        </w:rPr>
      </w:pPr>
    </w:p>
    <w:p w14:paraId="25D96129" w14:textId="1F711A51" w:rsidR="00C8389F" w:rsidRDefault="00C8389F" w:rsidP="00FF60D9">
      <w:pPr>
        <w:spacing w:line="480" w:lineRule="auto"/>
        <w:jc w:val="center"/>
        <w:rPr>
          <w:rFonts w:ascii="Arial" w:hAnsi="Arial" w:cs="Arial"/>
        </w:rPr>
      </w:pPr>
    </w:p>
    <w:p w14:paraId="510B66A6" w14:textId="3D6DC43F" w:rsidR="00C8389F" w:rsidRDefault="00C8389F" w:rsidP="00FF60D9">
      <w:pPr>
        <w:spacing w:line="480" w:lineRule="auto"/>
        <w:jc w:val="center"/>
        <w:rPr>
          <w:rFonts w:ascii="Arial" w:hAnsi="Arial" w:cs="Arial"/>
        </w:rPr>
      </w:pPr>
    </w:p>
    <w:p w14:paraId="370E8BD7" w14:textId="4417809C" w:rsidR="00C8389F" w:rsidRDefault="00C8389F" w:rsidP="00FF60D9">
      <w:pPr>
        <w:spacing w:line="480" w:lineRule="auto"/>
        <w:jc w:val="center"/>
        <w:rPr>
          <w:rFonts w:ascii="Arial" w:hAnsi="Arial" w:cs="Arial"/>
        </w:rPr>
      </w:pPr>
    </w:p>
    <w:p w14:paraId="54ADC1C7" w14:textId="28EFD8B8" w:rsidR="00C8389F" w:rsidRDefault="00C8389F" w:rsidP="00FF60D9">
      <w:pPr>
        <w:spacing w:line="480" w:lineRule="auto"/>
        <w:jc w:val="center"/>
        <w:rPr>
          <w:rFonts w:ascii="Arial" w:hAnsi="Arial" w:cs="Arial"/>
        </w:rPr>
      </w:pPr>
    </w:p>
    <w:p w14:paraId="1459D420" w14:textId="552B9BD3" w:rsidR="00C8389F" w:rsidRDefault="00C8389F" w:rsidP="00FF60D9">
      <w:pPr>
        <w:spacing w:line="480" w:lineRule="auto"/>
        <w:jc w:val="center"/>
        <w:rPr>
          <w:rFonts w:ascii="Arial" w:hAnsi="Arial" w:cs="Arial"/>
        </w:rPr>
      </w:pPr>
    </w:p>
    <w:p w14:paraId="0505E372" w14:textId="0E1ED9E0" w:rsidR="00C8389F" w:rsidRDefault="00C8389F" w:rsidP="00FF60D9">
      <w:pPr>
        <w:spacing w:line="480" w:lineRule="auto"/>
        <w:jc w:val="center"/>
        <w:rPr>
          <w:rFonts w:ascii="Arial" w:hAnsi="Arial" w:cs="Arial"/>
        </w:rPr>
      </w:pPr>
    </w:p>
    <w:p w14:paraId="50992863" w14:textId="77777777" w:rsidR="00B667EC" w:rsidRDefault="00B667EC" w:rsidP="00FF60D9">
      <w:pPr>
        <w:spacing w:line="480" w:lineRule="auto"/>
        <w:jc w:val="center"/>
        <w:rPr>
          <w:rFonts w:ascii="Arial" w:hAnsi="Arial" w:cs="Arial"/>
        </w:rPr>
      </w:pPr>
    </w:p>
    <w:p w14:paraId="05407E06" w14:textId="77777777" w:rsidR="00C8389F" w:rsidRDefault="00C8389F" w:rsidP="00FF60D9">
      <w:pPr>
        <w:spacing w:line="480" w:lineRule="auto"/>
        <w:jc w:val="center"/>
        <w:rPr>
          <w:rFonts w:ascii="Arial" w:hAnsi="Arial" w:cs="Arial"/>
        </w:rPr>
      </w:pPr>
    </w:p>
    <w:p w14:paraId="15D7A86F" w14:textId="77777777" w:rsidR="00C10224" w:rsidRPr="00FF60D9" w:rsidRDefault="00C10224" w:rsidP="00FF60D9">
      <w:pPr>
        <w:spacing w:line="480" w:lineRule="auto"/>
        <w:rPr>
          <w:rFonts w:ascii="Arial" w:hAnsi="Arial" w:cs="Arial"/>
        </w:rPr>
      </w:pPr>
    </w:p>
    <w:p w14:paraId="5221B62B" w14:textId="2F77946B" w:rsidR="007B7647" w:rsidRPr="00FF60D9" w:rsidRDefault="00A053E6" w:rsidP="00FF60D9">
      <w:pPr>
        <w:pStyle w:val="ListParagraph"/>
        <w:numPr>
          <w:ilvl w:val="0"/>
          <w:numId w:val="9"/>
        </w:numPr>
        <w:spacing w:line="480" w:lineRule="auto"/>
        <w:rPr>
          <w:rFonts w:ascii="Arial" w:hAnsi="Arial" w:cs="Arial"/>
          <w:b/>
        </w:rPr>
      </w:pPr>
      <w:r w:rsidRPr="00FF60D9">
        <w:rPr>
          <w:rFonts w:ascii="Arial" w:hAnsi="Arial" w:cs="Arial"/>
          <w:b/>
        </w:rPr>
        <w:lastRenderedPageBreak/>
        <w:t>Introduction</w:t>
      </w:r>
    </w:p>
    <w:p w14:paraId="1F431466" w14:textId="6E9557BF" w:rsidR="00862FA2" w:rsidRPr="00FF60D9" w:rsidRDefault="00462E24" w:rsidP="00FF60D9">
      <w:pPr>
        <w:spacing w:line="480" w:lineRule="auto"/>
        <w:rPr>
          <w:rFonts w:ascii="Arial" w:hAnsi="Arial" w:cs="Arial"/>
        </w:rPr>
      </w:pPr>
      <w:r w:rsidRPr="00FF60D9">
        <w:rPr>
          <w:rFonts w:ascii="Arial" w:hAnsi="Arial" w:cs="Arial"/>
        </w:rPr>
        <w:t>Both intimate partner violence (IPV) and sexual assault</w:t>
      </w:r>
      <w:r w:rsidR="006A28F3" w:rsidRPr="00FF60D9">
        <w:rPr>
          <w:rFonts w:ascii="Arial" w:hAnsi="Arial" w:cs="Arial"/>
        </w:rPr>
        <w:t xml:space="preserve"> (SA)</w:t>
      </w:r>
      <w:r w:rsidRPr="00FF60D9">
        <w:rPr>
          <w:rFonts w:ascii="Arial" w:hAnsi="Arial" w:cs="Arial"/>
        </w:rPr>
        <w:t xml:space="preserve"> are highly underreported crimes that d</w:t>
      </w:r>
      <w:r w:rsidR="007A1A6C" w:rsidRPr="00FF60D9">
        <w:rPr>
          <w:rFonts w:ascii="Arial" w:hAnsi="Arial" w:cs="Arial"/>
        </w:rPr>
        <w:t>isproportionately affect women and</w:t>
      </w:r>
      <w:r w:rsidR="00056F07" w:rsidRPr="00FF60D9">
        <w:rPr>
          <w:rFonts w:ascii="Arial" w:hAnsi="Arial" w:cs="Arial"/>
        </w:rPr>
        <w:t xml:space="preserve"> </w:t>
      </w:r>
      <w:r w:rsidR="007A1A6C" w:rsidRPr="00FF60D9">
        <w:rPr>
          <w:rFonts w:ascii="Arial" w:hAnsi="Arial" w:cs="Arial"/>
        </w:rPr>
        <w:t>are referred to collectively as violence against women.</w:t>
      </w:r>
      <w:r w:rsidR="007A1A6C" w:rsidRPr="00FF60D9">
        <w:rPr>
          <w:rStyle w:val="FootnoteReference"/>
          <w:rFonts w:ascii="Arial" w:hAnsi="Arial" w:cs="Arial"/>
        </w:rPr>
        <w:footnoteReference w:id="1"/>
      </w:r>
      <w:r w:rsidR="007A1A6C" w:rsidRPr="00FF60D9">
        <w:rPr>
          <w:rFonts w:ascii="Arial" w:hAnsi="Arial" w:cs="Arial"/>
        </w:rPr>
        <w:t xml:space="preserve"> </w:t>
      </w:r>
      <w:r w:rsidR="008630A7" w:rsidRPr="00FF60D9">
        <w:rPr>
          <w:rFonts w:ascii="Arial" w:hAnsi="Arial" w:cs="Arial"/>
        </w:rPr>
        <w:t>Although some men are victims of IPV and, the vast majority of victims are women because of the traditionally inferior roles of women in a variety of cultures, societies, and time periods.</w:t>
      </w:r>
      <w:r w:rsidR="008630A7" w:rsidRPr="00FF60D9">
        <w:rPr>
          <w:rStyle w:val="FootnoteReference"/>
          <w:rFonts w:ascii="Arial" w:hAnsi="Arial" w:cs="Arial"/>
        </w:rPr>
        <w:footnoteReference w:id="2"/>
      </w:r>
      <w:r w:rsidR="008630A7" w:rsidRPr="00FF60D9">
        <w:rPr>
          <w:rFonts w:ascii="Arial" w:hAnsi="Arial" w:cs="Arial"/>
        </w:rPr>
        <w:t xml:space="preserve"> </w:t>
      </w:r>
      <w:r w:rsidRPr="00FF60D9">
        <w:rPr>
          <w:rFonts w:ascii="Arial" w:hAnsi="Arial" w:cs="Arial"/>
        </w:rPr>
        <w:t xml:space="preserve">Across the nation, 36.6% </w:t>
      </w:r>
      <w:r w:rsidR="003F7679" w:rsidRPr="00FF60D9">
        <w:rPr>
          <w:rFonts w:ascii="Arial" w:hAnsi="Arial" w:cs="Arial"/>
        </w:rPr>
        <w:t>of women have experienced</w:t>
      </w:r>
      <w:r w:rsidRPr="00FF60D9">
        <w:rPr>
          <w:rFonts w:ascii="Arial" w:hAnsi="Arial" w:cs="Arial"/>
        </w:rPr>
        <w:t xml:space="preserve"> contact sexual violence in their lifetimes, </w:t>
      </w:r>
      <w:r w:rsidR="00C30D45" w:rsidRPr="00FF60D9">
        <w:rPr>
          <w:rFonts w:ascii="Arial" w:hAnsi="Arial" w:cs="Arial"/>
        </w:rPr>
        <w:t>while -</w:t>
      </w:r>
      <w:r w:rsidR="007B7647" w:rsidRPr="00FF60D9">
        <w:rPr>
          <w:rFonts w:ascii="Arial" w:hAnsi="Arial" w:cs="Arial"/>
        </w:rPr>
        <w:t xml:space="preserve"> at a nearly identical rate - </w:t>
      </w:r>
      <w:r w:rsidRPr="00FF60D9">
        <w:rPr>
          <w:rFonts w:ascii="Arial" w:hAnsi="Arial" w:cs="Arial"/>
        </w:rPr>
        <w:t>37.2% have exp</w:t>
      </w:r>
      <w:r w:rsidR="007A1A6C" w:rsidRPr="00FF60D9">
        <w:rPr>
          <w:rFonts w:ascii="Arial" w:hAnsi="Arial" w:cs="Arial"/>
        </w:rPr>
        <w:t>erienced IPV in their lifetime</w:t>
      </w:r>
      <w:r w:rsidRPr="00FF60D9">
        <w:rPr>
          <w:rFonts w:ascii="Arial" w:hAnsi="Arial" w:cs="Arial"/>
        </w:rPr>
        <w:t>.</w:t>
      </w:r>
      <w:r w:rsidR="007B7647" w:rsidRPr="00FF60D9">
        <w:rPr>
          <w:rStyle w:val="FootnoteReference"/>
          <w:rFonts w:ascii="Arial" w:hAnsi="Arial" w:cs="Arial"/>
        </w:rPr>
        <w:footnoteReference w:id="3"/>
      </w:r>
      <w:r w:rsidRPr="00FF60D9">
        <w:rPr>
          <w:rFonts w:ascii="Arial" w:hAnsi="Arial" w:cs="Arial"/>
        </w:rPr>
        <w:t xml:space="preserve"> </w:t>
      </w:r>
      <w:r w:rsidR="007B7647" w:rsidRPr="00FF60D9">
        <w:rPr>
          <w:rFonts w:ascii="Arial" w:hAnsi="Arial" w:cs="Arial"/>
        </w:rPr>
        <w:t xml:space="preserve"> Moreover</w:t>
      </w:r>
      <w:r w:rsidRPr="00FF60D9">
        <w:rPr>
          <w:rFonts w:ascii="Arial" w:hAnsi="Arial" w:cs="Arial"/>
        </w:rPr>
        <w:t xml:space="preserve"> approximately 45.8% of those contact sexual violence experiences were committed by current or former intimate partners</w:t>
      </w:r>
      <w:r w:rsidR="00850C96" w:rsidRPr="00FF60D9">
        <w:rPr>
          <w:rFonts w:ascii="Arial" w:hAnsi="Arial" w:cs="Arial"/>
        </w:rPr>
        <w:t>, a fact that further entangles these two forms of violence against women</w:t>
      </w:r>
      <w:r w:rsidR="007A1A6C" w:rsidRPr="00FF60D9">
        <w:rPr>
          <w:rFonts w:ascii="Arial" w:hAnsi="Arial" w:cs="Arial"/>
        </w:rPr>
        <w:t>.</w:t>
      </w:r>
      <w:r w:rsidR="007A1A6C" w:rsidRPr="00FF60D9">
        <w:rPr>
          <w:rStyle w:val="FootnoteReference"/>
          <w:rFonts w:ascii="Arial" w:hAnsi="Arial" w:cs="Arial"/>
        </w:rPr>
        <w:footnoteReference w:id="4"/>
      </w:r>
      <w:r w:rsidR="007D7818" w:rsidRPr="00FF60D9">
        <w:rPr>
          <w:rFonts w:ascii="Arial" w:hAnsi="Arial" w:cs="Arial"/>
        </w:rPr>
        <w:t xml:space="preserve"> </w:t>
      </w:r>
      <w:r w:rsidR="00585EFD" w:rsidRPr="00FF60D9">
        <w:rPr>
          <w:rFonts w:ascii="Arial" w:hAnsi="Arial" w:cs="Arial"/>
        </w:rPr>
        <w:t>To</w:t>
      </w:r>
      <w:r w:rsidR="007D7818" w:rsidRPr="00FF60D9">
        <w:rPr>
          <w:rFonts w:ascii="Arial" w:hAnsi="Arial" w:cs="Arial"/>
        </w:rPr>
        <w:t xml:space="preserve"> </w:t>
      </w:r>
      <w:r w:rsidR="00585EFD" w:rsidRPr="00FF60D9">
        <w:rPr>
          <w:rFonts w:ascii="Arial" w:hAnsi="Arial" w:cs="Arial"/>
        </w:rPr>
        <w:t xml:space="preserve">create a successful structure of </w:t>
      </w:r>
      <w:r w:rsidR="007D7818" w:rsidRPr="00FF60D9">
        <w:rPr>
          <w:rFonts w:ascii="Arial" w:hAnsi="Arial" w:cs="Arial"/>
        </w:rPr>
        <w:t>prevent</w:t>
      </w:r>
      <w:r w:rsidR="00585EFD" w:rsidRPr="00FF60D9">
        <w:rPr>
          <w:rFonts w:ascii="Arial" w:hAnsi="Arial" w:cs="Arial"/>
        </w:rPr>
        <w:t xml:space="preserve">ion </w:t>
      </w:r>
      <w:r w:rsidR="007D7818" w:rsidRPr="00FF60D9">
        <w:rPr>
          <w:rFonts w:ascii="Arial" w:hAnsi="Arial" w:cs="Arial"/>
        </w:rPr>
        <w:t>within a</w:t>
      </w:r>
      <w:r w:rsidR="00FF60D9">
        <w:rPr>
          <w:rFonts w:ascii="Arial" w:hAnsi="Arial" w:cs="Arial"/>
        </w:rPr>
        <w:t xml:space="preserve"> society or a</w:t>
      </w:r>
      <w:r w:rsidR="007D7818" w:rsidRPr="00FF60D9">
        <w:rPr>
          <w:rFonts w:ascii="Arial" w:hAnsi="Arial" w:cs="Arial"/>
        </w:rPr>
        <w:t xml:space="preserve">n organization, the </w:t>
      </w:r>
      <w:r w:rsidR="00FF60D9">
        <w:rPr>
          <w:rFonts w:ascii="Arial" w:hAnsi="Arial" w:cs="Arial"/>
        </w:rPr>
        <w:t xml:space="preserve">society or </w:t>
      </w:r>
      <w:r w:rsidR="007D7818" w:rsidRPr="00FF60D9">
        <w:rPr>
          <w:rFonts w:ascii="Arial" w:hAnsi="Arial" w:cs="Arial"/>
        </w:rPr>
        <w:t xml:space="preserve">organization must be cognizant of the </w:t>
      </w:r>
      <w:r w:rsidR="00FF60D9">
        <w:rPr>
          <w:rFonts w:ascii="Arial" w:hAnsi="Arial" w:cs="Arial"/>
        </w:rPr>
        <w:t>actual</w:t>
      </w:r>
      <w:r w:rsidR="007D7818" w:rsidRPr="00FF60D9">
        <w:rPr>
          <w:rFonts w:ascii="Arial" w:hAnsi="Arial" w:cs="Arial"/>
        </w:rPr>
        <w:t xml:space="preserve"> experiences of survivors and the cultural factors that prop up and allow perpetrators to </w:t>
      </w:r>
      <w:r w:rsidR="00585EFD" w:rsidRPr="00FF60D9">
        <w:rPr>
          <w:rFonts w:ascii="Arial" w:hAnsi="Arial" w:cs="Arial"/>
        </w:rPr>
        <w:t>commit violence against women in the first place.</w:t>
      </w:r>
    </w:p>
    <w:p w14:paraId="48CECFBE" w14:textId="77777777" w:rsidR="00850C96" w:rsidRPr="00FF60D9" w:rsidRDefault="00850C96" w:rsidP="00FF60D9">
      <w:pPr>
        <w:spacing w:line="480" w:lineRule="auto"/>
        <w:rPr>
          <w:rFonts w:ascii="Arial" w:hAnsi="Arial" w:cs="Arial"/>
        </w:rPr>
      </w:pPr>
    </w:p>
    <w:p w14:paraId="3F64F621" w14:textId="29B92603" w:rsidR="00862FA2" w:rsidRPr="00FF60D9" w:rsidRDefault="00862FA2" w:rsidP="00FF60D9">
      <w:pPr>
        <w:spacing w:line="480" w:lineRule="auto"/>
        <w:rPr>
          <w:rFonts w:ascii="Arial" w:hAnsi="Arial" w:cs="Arial"/>
        </w:rPr>
      </w:pPr>
      <w:r w:rsidRPr="00FF60D9">
        <w:rPr>
          <w:rFonts w:ascii="Arial" w:hAnsi="Arial" w:cs="Arial"/>
        </w:rPr>
        <w:t xml:space="preserve">The </w:t>
      </w:r>
      <w:r w:rsidR="00E837BC" w:rsidRPr="00FF60D9">
        <w:rPr>
          <w:rFonts w:ascii="Arial" w:hAnsi="Arial" w:cs="Arial"/>
        </w:rPr>
        <w:t xml:space="preserve">United States </w:t>
      </w:r>
      <w:r w:rsidRPr="00FF60D9">
        <w:rPr>
          <w:rFonts w:ascii="Arial" w:hAnsi="Arial" w:cs="Arial"/>
        </w:rPr>
        <w:t>Coast Guard</w:t>
      </w:r>
      <w:r w:rsidR="00E837BC" w:rsidRPr="00FF60D9">
        <w:rPr>
          <w:rFonts w:ascii="Arial" w:hAnsi="Arial" w:cs="Arial"/>
        </w:rPr>
        <w:t xml:space="preserve"> (CG)</w:t>
      </w:r>
      <w:r w:rsidRPr="00FF60D9">
        <w:rPr>
          <w:rFonts w:ascii="Arial" w:hAnsi="Arial" w:cs="Arial"/>
        </w:rPr>
        <w:t xml:space="preserve"> is one of the five military branches, although it is under the Department of Homeland Security (DHS) instead of under the Department of Defense (DOD)</w:t>
      </w:r>
      <w:r w:rsidRPr="00FF60D9">
        <w:rPr>
          <w:rStyle w:val="FootnoteReference"/>
          <w:rFonts w:ascii="Arial" w:hAnsi="Arial" w:cs="Arial"/>
        </w:rPr>
        <w:footnoteReference w:id="5"/>
      </w:r>
      <w:r w:rsidRPr="00FF60D9">
        <w:rPr>
          <w:rFonts w:ascii="Arial" w:hAnsi="Arial" w:cs="Arial"/>
        </w:rPr>
        <w:t>. Given this jurisdictional difference, m</w:t>
      </w:r>
      <w:r w:rsidR="00174500">
        <w:rPr>
          <w:rFonts w:ascii="Arial" w:hAnsi="Arial" w:cs="Arial"/>
        </w:rPr>
        <w:t>any</w:t>
      </w:r>
      <w:r w:rsidRPr="00FF60D9">
        <w:rPr>
          <w:rFonts w:ascii="Arial" w:hAnsi="Arial" w:cs="Arial"/>
        </w:rPr>
        <w:t xml:space="preserve"> DOD policies and military </w:t>
      </w:r>
      <w:r w:rsidRPr="00FF60D9">
        <w:rPr>
          <w:rFonts w:ascii="Arial" w:hAnsi="Arial" w:cs="Arial"/>
        </w:rPr>
        <w:lastRenderedPageBreak/>
        <w:t xml:space="preserve">laws still apply to the </w:t>
      </w:r>
      <w:r w:rsidR="00E837BC" w:rsidRPr="00FF60D9">
        <w:rPr>
          <w:rFonts w:ascii="Arial" w:hAnsi="Arial" w:cs="Arial"/>
        </w:rPr>
        <w:t>CG</w:t>
      </w:r>
      <w:r w:rsidRPr="00FF60D9">
        <w:rPr>
          <w:rFonts w:ascii="Arial" w:hAnsi="Arial" w:cs="Arial"/>
        </w:rPr>
        <w:t xml:space="preserve"> making it indistinguishable from the other branches in many basic military aspects</w:t>
      </w:r>
      <w:r w:rsidRPr="00FF60D9">
        <w:rPr>
          <w:rStyle w:val="FootnoteReference"/>
          <w:rFonts w:ascii="Arial" w:hAnsi="Arial" w:cs="Arial"/>
        </w:rPr>
        <w:footnoteReference w:id="6"/>
      </w:r>
      <w:r w:rsidRPr="00FF60D9">
        <w:rPr>
          <w:rFonts w:ascii="Arial" w:hAnsi="Arial" w:cs="Arial"/>
        </w:rPr>
        <w:t xml:space="preserve">. This paper will focus </w:t>
      </w:r>
      <w:r w:rsidR="00585EFD" w:rsidRPr="00FF60D9">
        <w:rPr>
          <w:rFonts w:ascii="Arial" w:hAnsi="Arial" w:cs="Arial"/>
        </w:rPr>
        <w:t>narrowly</w:t>
      </w:r>
      <w:r w:rsidRPr="00FF60D9">
        <w:rPr>
          <w:rFonts w:ascii="Arial" w:hAnsi="Arial" w:cs="Arial"/>
        </w:rPr>
        <w:t xml:space="preserve"> on the policies and practices of the Coast Guard</w:t>
      </w:r>
      <w:r w:rsidR="00672931" w:rsidRPr="00FF60D9">
        <w:rPr>
          <w:rFonts w:ascii="Arial" w:hAnsi="Arial" w:cs="Arial"/>
        </w:rPr>
        <w:t>.</w:t>
      </w:r>
    </w:p>
    <w:p w14:paraId="34F3BF25" w14:textId="77777777" w:rsidR="004F1B59" w:rsidRPr="00FF60D9" w:rsidRDefault="004F1B59" w:rsidP="00FF60D9">
      <w:pPr>
        <w:spacing w:line="480" w:lineRule="auto"/>
        <w:rPr>
          <w:rFonts w:ascii="Arial" w:hAnsi="Arial" w:cs="Arial"/>
        </w:rPr>
      </w:pPr>
    </w:p>
    <w:p w14:paraId="6F7084E1" w14:textId="387E7630" w:rsidR="006A28F3" w:rsidRPr="00FF60D9" w:rsidRDefault="00333184" w:rsidP="00FF60D9">
      <w:pPr>
        <w:spacing w:line="480" w:lineRule="auto"/>
        <w:rPr>
          <w:rFonts w:ascii="Arial" w:eastAsia="Times New Roman" w:hAnsi="Arial" w:cs="Arial"/>
          <w:color w:val="000000"/>
        </w:rPr>
      </w:pPr>
      <w:r w:rsidRPr="00FF60D9">
        <w:rPr>
          <w:rFonts w:ascii="Arial" w:hAnsi="Arial" w:cs="Arial"/>
        </w:rPr>
        <w:t>In 1994, Congress enacted the</w:t>
      </w:r>
      <w:r w:rsidR="00AF75C6" w:rsidRPr="00FF60D9">
        <w:rPr>
          <w:rFonts w:ascii="Arial" w:hAnsi="Arial" w:cs="Arial"/>
        </w:rPr>
        <w:t xml:space="preserve"> Violence Against Women’s Act (VAWA) </w:t>
      </w:r>
      <w:r w:rsidR="00AF75C6" w:rsidRPr="00FF60D9">
        <w:rPr>
          <w:rStyle w:val="FootnoteReference"/>
          <w:rFonts w:ascii="Arial" w:hAnsi="Arial" w:cs="Arial"/>
        </w:rPr>
        <w:footnoteReference w:id="7"/>
      </w:r>
      <w:r w:rsidR="00F56266" w:rsidRPr="00FF60D9">
        <w:rPr>
          <w:rFonts w:ascii="Arial" w:eastAsia="Times New Roman" w:hAnsi="Arial" w:cs="Arial"/>
          <w:color w:val="000000"/>
          <w:shd w:val="clear" w:color="auto" w:fill="FFFFFF"/>
        </w:rPr>
        <w:t xml:space="preserve"> </w:t>
      </w:r>
      <w:r w:rsidR="00AF75C6" w:rsidRPr="00FF60D9">
        <w:rPr>
          <w:rFonts w:ascii="Arial" w:eastAsia="Times New Roman" w:hAnsi="Arial" w:cs="Arial"/>
          <w:color w:val="000000"/>
        </w:rPr>
        <w:t xml:space="preserve"> </w:t>
      </w:r>
      <w:r w:rsidRPr="00FF60D9">
        <w:rPr>
          <w:rFonts w:ascii="Arial" w:eastAsia="Times New Roman" w:hAnsi="Arial" w:cs="Arial"/>
          <w:color w:val="000000"/>
        </w:rPr>
        <w:t>which</w:t>
      </w:r>
      <w:r w:rsidR="00F56266" w:rsidRPr="00FF60D9">
        <w:rPr>
          <w:rFonts w:ascii="Arial" w:eastAsia="Times New Roman" w:hAnsi="Arial" w:cs="Arial"/>
          <w:color w:val="000000"/>
        </w:rPr>
        <w:t xml:space="preserve"> recognized some of the shared vulnerabilities and needs of victims of </w:t>
      </w:r>
      <w:r w:rsidR="006A28F3" w:rsidRPr="00FF60D9">
        <w:rPr>
          <w:rFonts w:ascii="Arial" w:eastAsia="Times New Roman" w:hAnsi="Arial" w:cs="Arial"/>
          <w:color w:val="000000"/>
        </w:rPr>
        <w:t xml:space="preserve">both </w:t>
      </w:r>
      <w:r w:rsidR="00F56266" w:rsidRPr="00FF60D9">
        <w:rPr>
          <w:rFonts w:ascii="Arial" w:eastAsia="Times New Roman" w:hAnsi="Arial" w:cs="Arial"/>
          <w:color w:val="000000"/>
        </w:rPr>
        <w:t>SA and IPV.</w:t>
      </w:r>
      <w:r w:rsidR="00F56266" w:rsidRPr="00FF60D9">
        <w:rPr>
          <w:rStyle w:val="FootnoteReference"/>
          <w:rFonts w:ascii="Arial" w:eastAsia="Times New Roman" w:hAnsi="Arial" w:cs="Arial"/>
          <w:color w:val="000000"/>
        </w:rPr>
        <w:footnoteReference w:id="8"/>
      </w:r>
      <w:r w:rsidR="00F56266" w:rsidRPr="00FF60D9">
        <w:rPr>
          <w:rFonts w:ascii="Arial" w:eastAsia="Times New Roman" w:hAnsi="Arial" w:cs="Arial"/>
          <w:color w:val="000000"/>
        </w:rPr>
        <w:t xml:space="preserve"> </w:t>
      </w:r>
      <w:r w:rsidR="00585EFD" w:rsidRPr="00FF60D9">
        <w:rPr>
          <w:rFonts w:ascii="Arial" w:eastAsia="Times New Roman" w:hAnsi="Arial" w:cs="Arial"/>
          <w:color w:val="000000"/>
        </w:rPr>
        <w:t xml:space="preserve">This </w:t>
      </w:r>
      <w:r w:rsidR="00850C96" w:rsidRPr="00FF60D9">
        <w:rPr>
          <w:rFonts w:ascii="Arial" w:eastAsia="Times New Roman" w:hAnsi="Arial" w:cs="Arial"/>
          <w:color w:val="000000"/>
        </w:rPr>
        <w:t xml:space="preserve">The act sparked </w:t>
      </w:r>
      <w:r w:rsidRPr="00FF60D9">
        <w:rPr>
          <w:rFonts w:ascii="Arial" w:eastAsia="Times New Roman" w:hAnsi="Arial" w:cs="Arial"/>
          <w:color w:val="000000"/>
        </w:rPr>
        <w:t xml:space="preserve">various programs and policies </w:t>
      </w:r>
      <w:r w:rsidR="00850C96" w:rsidRPr="00FF60D9">
        <w:rPr>
          <w:rFonts w:ascii="Arial" w:eastAsia="Times New Roman" w:hAnsi="Arial" w:cs="Arial"/>
          <w:color w:val="000000"/>
        </w:rPr>
        <w:t>in the nation that</w:t>
      </w:r>
      <w:r w:rsidRPr="00FF60D9">
        <w:rPr>
          <w:rFonts w:ascii="Arial" w:eastAsia="Times New Roman" w:hAnsi="Arial" w:cs="Arial"/>
          <w:color w:val="000000"/>
        </w:rPr>
        <w:t xml:space="preserve"> address assaultive </w:t>
      </w:r>
      <w:r w:rsidR="00850C96" w:rsidRPr="00FF60D9">
        <w:rPr>
          <w:rFonts w:ascii="Arial" w:eastAsia="Times New Roman" w:hAnsi="Arial" w:cs="Arial"/>
          <w:color w:val="000000"/>
        </w:rPr>
        <w:t xml:space="preserve">behaviors before they begin, </w:t>
      </w:r>
      <w:r w:rsidRPr="00FF60D9">
        <w:rPr>
          <w:rFonts w:ascii="Arial" w:eastAsia="Times New Roman" w:hAnsi="Arial" w:cs="Arial"/>
          <w:color w:val="000000"/>
        </w:rPr>
        <w:t xml:space="preserve">assist </w:t>
      </w:r>
      <w:r w:rsidR="00850C96" w:rsidRPr="00FF60D9">
        <w:rPr>
          <w:rFonts w:ascii="Arial" w:eastAsia="Times New Roman" w:hAnsi="Arial" w:cs="Arial"/>
          <w:color w:val="000000"/>
        </w:rPr>
        <w:t xml:space="preserve">survivors, and </w:t>
      </w:r>
      <w:r w:rsidRPr="00FF60D9">
        <w:rPr>
          <w:rFonts w:ascii="Arial" w:eastAsia="Times New Roman" w:hAnsi="Arial" w:cs="Arial"/>
          <w:color w:val="000000"/>
        </w:rPr>
        <w:t>encourage a just resolution</w:t>
      </w:r>
      <w:r w:rsidR="006A28F3" w:rsidRPr="00FF60D9">
        <w:rPr>
          <w:rFonts w:ascii="Arial" w:eastAsia="Times New Roman" w:hAnsi="Arial" w:cs="Arial"/>
          <w:color w:val="000000"/>
        </w:rPr>
        <w:t>. With regards to the military, however,</w:t>
      </w:r>
      <w:r w:rsidR="00A318B4" w:rsidRPr="00FF60D9">
        <w:rPr>
          <w:rFonts w:ascii="Arial" w:eastAsia="Times New Roman" w:hAnsi="Arial" w:cs="Arial"/>
          <w:color w:val="000000"/>
        </w:rPr>
        <w:t xml:space="preserve"> VAWA had minimal impact </w:t>
      </w:r>
      <w:r w:rsidR="006A28F3" w:rsidRPr="00FF60D9">
        <w:rPr>
          <w:rFonts w:ascii="Arial" w:eastAsia="Times New Roman" w:hAnsi="Arial" w:cs="Arial"/>
          <w:color w:val="000000"/>
        </w:rPr>
        <w:t xml:space="preserve">and failed to produced real change </w:t>
      </w:r>
      <w:r w:rsidR="00A318B4" w:rsidRPr="00FF60D9">
        <w:rPr>
          <w:rFonts w:ascii="Arial" w:eastAsia="Times New Roman" w:hAnsi="Arial" w:cs="Arial"/>
          <w:color w:val="000000"/>
        </w:rPr>
        <w:t>because of the unique deference that Congress gives to the branches</w:t>
      </w:r>
      <w:r w:rsidRPr="00FF60D9">
        <w:rPr>
          <w:rFonts w:ascii="Arial" w:eastAsia="Times New Roman" w:hAnsi="Arial" w:cs="Arial"/>
          <w:color w:val="000000"/>
        </w:rPr>
        <w:t>.</w:t>
      </w:r>
      <w:r w:rsidR="00850C96" w:rsidRPr="00FF60D9">
        <w:rPr>
          <w:rStyle w:val="FootnoteReference"/>
          <w:rFonts w:ascii="Arial" w:eastAsia="Times New Roman" w:hAnsi="Arial" w:cs="Arial"/>
          <w:color w:val="000000"/>
        </w:rPr>
        <w:footnoteReference w:id="9"/>
      </w:r>
      <w:r w:rsidR="006A28F3" w:rsidRPr="00FF60D9">
        <w:rPr>
          <w:rFonts w:ascii="Arial" w:eastAsia="Times New Roman" w:hAnsi="Arial" w:cs="Arial"/>
          <w:color w:val="000000"/>
        </w:rPr>
        <w:t xml:space="preserve"> </w:t>
      </w:r>
    </w:p>
    <w:p w14:paraId="39E11C1F" w14:textId="77777777" w:rsidR="006A28F3" w:rsidRPr="00FF60D9" w:rsidRDefault="006A28F3" w:rsidP="00FF60D9">
      <w:pPr>
        <w:spacing w:line="480" w:lineRule="auto"/>
        <w:rPr>
          <w:rFonts w:ascii="Arial" w:eastAsia="Times New Roman" w:hAnsi="Arial" w:cs="Arial"/>
          <w:color w:val="000000"/>
        </w:rPr>
      </w:pPr>
    </w:p>
    <w:p w14:paraId="7B03137E" w14:textId="76E8FA92" w:rsidR="00C7185A" w:rsidRPr="00FF60D9" w:rsidRDefault="006A28F3" w:rsidP="00FF60D9">
      <w:pPr>
        <w:spacing w:line="480" w:lineRule="auto"/>
        <w:rPr>
          <w:rFonts w:ascii="Arial" w:eastAsia="Times New Roman" w:hAnsi="Arial" w:cs="Arial"/>
          <w:color w:val="000000"/>
        </w:rPr>
      </w:pPr>
      <w:r w:rsidRPr="00FF60D9">
        <w:rPr>
          <w:rFonts w:ascii="Arial" w:eastAsia="Times New Roman" w:hAnsi="Arial" w:cs="Arial"/>
          <w:color w:val="000000"/>
        </w:rPr>
        <w:t>What does produce real, swift change, however, is Hollywood and the media. I</w:t>
      </w:r>
      <w:r w:rsidR="00850C96" w:rsidRPr="00FF60D9">
        <w:rPr>
          <w:rFonts w:ascii="Arial" w:eastAsia="Times New Roman" w:hAnsi="Arial" w:cs="Arial"/>
          <w:color w:val="000000"/>
        </w:rPr>
        <w:t xml:space="preserve">n 1999, </w:t>
      </w:r>
      <w:r w:rsidR="00850C96" w:rsidRPr="00FF60D9">
        <w:rPr>
          <w:rFonts w:ascii="Arial" w:eastAsia="Times New Roman" w:hAnsi="Arial" w:cs="Arial"/>
          <w:i/>
          <w:color w:val="000000"/>
        </w:rPr>
        <w:t xml:space="preserve">60 </w:t>
      </w:r>
      <w:r w:rsidR="00850C96" w:rsidRPr="00FF60D9">
        <w:rPr>
          <w:rFonts w:ascii="Arial" w:eastAsia="Times New Roman" w:hAnsi="Arial" w:cs="Arial"/>
          <w:color w:val="000000"/>
        </w:rPr>
        <w:t>Minutes aired “The War at Home” which exposed IPV’s pervasive presence in the military.</w:t>
      </w:r>
      <w:r w:rsidR="00850C96" w:rsidRPr="00FF60D9">
        <w:rPr>
          <w:rStyle w:val="FootnoteReference"/>
          <w:rFonts w:ascii="Arial" w:eastAsia="Times New Roman" w:hAnsi="Arial" w:cs="Arial"/>
          <w:color w:val="000000"/>
        </w:rPr>
        <w:footnoteReference w:id="10"/>
      </w:r>
      <w:r w:rsidR="00850C96" w:rsidRPr="00FF60D9">
        <w:rPr>
          <w:rFonts w:ascii="Arial" w:eastAsia="Times New Roman" w:hAnsi="Arial" w:cs="Arial"/>
          <w:color w:val="000000"/>
        </w:rPr>
        <w:t xml:space="preserve"> Subsequently, </w:t>
      </w:r>
      <w:r w:rsidR="007D7818" w:rsidRPr="00FF60D9">
        <w:rPr>
          <w:rFonts w:ascii="Arial" w:eastAsia="Times New Roman" w:hAnsi="Arial" w:cs="Arial"/>
          <w:color w:val="000000"/>
        </w:rPr>
        <w:t>Congress enacted</w:t>
      </w:r>
      <w:r w:rsidR="00850C96" w:rsidRPr="00FF60D9">
        <w:rPr>
          <w:rFonts w:ascii="Arial" w:eastAsia="Times New Roman" w:hAnsi="Arial" w:cs="Arial"/>
          <w:color w:val="000000"/>
        </w:rPr>
        <w:t xml:space="preserve"> the Defense Task Force on Domestic Violence (DTFDV) via the National Defense Authorization Fund.</w:t>
      </w:r>
      <w:r w:rsidR="00850C96" w:rsidRPr="00FF60D9">
        <w:rPr>
          <w:rStyle w:val="FootnoteReference"/>
          <w:rFonts w:ascii="Arial" w:eastAsia="Times New Roman" w:hAnsi="Arial" w:cs="Arial"/>
          <w:color w:val="000000"/>
        </w:rPr>
        <w:footnoteReference w:id="11"/>
      </w:r>
      <w:r w:rsidR="00850C96" w:rsidRPr="00FF60D9">
        <w:rPr>
          <w:rFonts w:ascii="Arial" w:eastAsia="Times New Roman" w:hAnsi="Arial" w:cs="Arial"/>
          <w:color w:val="000000"/>
        </w:rPr>
        <w:t xml:space="preserve"> </w:t>
      </w:r>
      <w:r w:rsidR="00A318B4" w:rsidRPr="00FF60D9">
        <w:rPr>
          <w:rFonts w:ascii="Arial" w:eastAsia="Times New Roman" w:hAnsi="Arial" w:cs="Arial"/>
          <w:color w:val="000000"/>
        </w:rPr>
        <w:t>Additionally, the film “The Invisible War” sparked a similarly swift response among military leaders who updated existing SA programs and implemented more</w:t>
      </w:r>
      <w:r w:rsidR="007D7818" w:rsidRPr="00FF60D9">
        <w:rPr>
          <w:rFonts w:ascii="Arial" w:eastAsia="Times New Roman" w:hAnsi="Arial" w:cs="Arial"/>
          <w:color w:val="000000"/>
        </w:rPr>
        <w:t xml:space="preserve"> measures</w:t>
      </w:r>
      <w:r w:rsidR="00A318B4" w:rsidRPr="00FF60D9">
        <w:rPr>
          <w:rFonts w:ascii="Arial" w:eastAsia="Times New Roman" w:hAnsi="Arial" w:cs="Arial"/>
          <w:color w:val="000000"/>
        </w:rPr>
        <w:t xml:space="preserve">, including </w:t>
      </w:r>
      <w:r w:rsidRPr="00FF60D9">
        <w:rPr>
          <w:rFonts w:ascii="Arial" w:eastAsia="Times New Roman" w:hAnsi="Arial" w:cs="Arial"/>
          <w:color w:val="000000"/>
        </w:rPr>
        <w:t>a s</w:t>
      </w:r>
      <w:r w:rsidR="00A318B4" w:rsidRPr="00FF60D9">
        <w:rPr>
          <w:rFonts w:ascii="Arial" w:eastAsia="Times New Roman" w:hAnsi="Arial" w:cs="Arial"/>
          <w:color w:val="000000"/>
        </w:rPr>
        <w:t>ervice-</w:t>
      </w:r>
      <w:r w:rsidR="00A318B4" w:rsidRPr="00FF60D9">
        <w:rPr>
          <w:rFonts w:ascii="Arial" w:eastAsia="Times New Roman" w:hAnsi="Arial" w:cs="Arial"/>
          <w:color w:val="000000"/>
        </w:rPr>
        <w:lastRenderedPageBreak/>
        <w:t>wide strategic plan.</w:t>
      </w:r>
      <w:r w:rsidRPr="00FF60D9">
        <w:rPr>
          <w:rStyle w:val="FootnoteReference"/>
          <w:rFonts w:ascii="Arial" w:eastAsia="Times New Roman" w:hAnsi="Arial" w:cs="Arial"/>
          <w:color w:val="000000"/>
        </w:rPr>
        <w:footnoteReference w:id="12"/>
      </w:r>
      <w:r w:rsidRPr="00FF60D9">
        <w:rPr>
          <w:rFonts w:ascii="Arial" w:eastAsia="Times New Roman" w:hAnsi="Arial" w:cs="Arial"/>
          <w:color w:val="000000"/>
        </w:rPr>
        <w:t xml:space="preserve"> </w:t>
      </w:r>
      <w:r w:rsidR="007D7818" w:rsidRPr="00FF60D9">
        <w:rPr>
          <w:rFonts w:ascii="Arial" w:eastAsia="Times New Roman" w:hAnsi="Arial" w:cs="Arial"/>
          <w:color w:val="000000"/>
        </w:rPr>
        <w:t xml:space="preserve">While </w:t>
      </w:r>
      <w:r w:rsidRPr="00FF60D9">
        <w:rPr>
          <w:rFonts w:ascii="Arial" w:eastAsia="Times New Roman" w:hAnsi="Arial" w:cs="Arial"/>
          <w:color w:val="000000"/>
        </w:rPr>
        <w:t>these</w:t>
      </w:r>
      <w:r w:rsidR="00333184" w:rsidRPr="00FF60D9">
        <w:rPr>
          <w:rFonts w:ascii="Arial" w:eastAsia="Times New Roman" w:hAnsi="Arial" w:cs="Arial"/>
          <w:color w:val="000000"/>
        </w:rPr>
        <w:t xml:space="preserve"> </w:t>
      </w:r>
      <w:r w:rsidR="007D7818" w:rsidRPr="00FF60D9">
        <w:rPr>
          <w:rFonts w:ascii="Arial" w:eastAsia="Times New Roman" w:hAnsi="Arial" w:cs="Arial"/>
          <w:color w:val="000000"/>
        </w:rPr>
        <w:t>knee-jerk r</w:t>
      </w:r>
      <w:r w:rsidR="00A318B4" w:rsidRPr="00FF60D9">
        <w:rPr>
          <w:rFonts w:ascii="Arial" w:eastAsia="Times New Roman" w:hAnsi="Arial" w:cs="Arial"/>
          <w:color w:val="000000"/>
        </w:rPr>
        <w:t>eactions following</w:t>
      </w:r>
      <w:r w:rsidR="007D7818" w:rsidRPr="00FF60D9">
        <w:rPr>
          <w:rFonts w:ascii="Arial" w:eastAsia="Times New Roman" w:hAnsi="Arial" w:cs="Arial"/>
          <w:color w:val="000000"/>
        </w:rPr>
        <w:t xml:space="preserve"> embarrassing</w:t>
      </w:r>
      <w:r w:rsidR="00A318B4" w:rsidRPr="00FF60D9">
        <w:rPr>
          <w:rFonts w:ascii="Arial" w:eastAsia="Times New Roman" w:hAnsi="Arial" w:cs="Arial"/>
          <w:color w:val="000000"/>
        </w:rPr>
        <w:t xml:space="preserve"> </w:t>
      </w:r>
      <w:r w:rsidR="00BB763A" w:rsidRPr="00FF60D9">
        <w:rPr>
          <w:rFonts w:ascii="Arial" w:eastAsia="Times New Roman" w:hAnsi="Arial" w:cs="Arial"/>
          <w:color w:val="000000"/>
        </w:rPr>
        <w:t>national exposure</w:t>
      </w:r>
      <w:r w:rsidRPr="00FF60D9">
        <w:rPr>
          <w:rFonts w:ascii="Arial" w:eastAsia="Times New Roman" w:hAnsi="Arial" w:cs="Arial"/>
          <w:color w:val="000000"/>
        </w:rPr>
        <w:t xml:space="preserve"> had – at one time </w:t>
      </w:r>
      <w:r w:rsidR="00672931" w:rsidRPr="00FF60D9">
        <w:rPr>
          <w:rFonts w:ascii="Arial" w:eastAsia="Times New Roman" w:hAnsi="Arial" w:cs="Arial"/>
          <w:color w:val="000000"/>
        </w:rPr>
        <w:t>–</w:t>
      </w:r>
      <w:r w:rsidR="007D7818" w:rsidRPr="00FF60D9">
        <w:rPr>
          <w:rFonts w:ascii="Arial" w:eastAsia="Times New Roman" w:hAnsi="Arial" w:cs="Arial"/>
          <w:color w:val="000000"/>
        </w:rPr>
        <w:t xml:space="preserve"> </w:t>
      </w:r>
      <w:r w:rsidR="00672931" w:rsidRPr="00FF60D9">
        <w:rPr>
          <w:rFonts w:ascii="Arial" w:eastAsia="Times New Roman" w:hAnsi="Arial" w:cs="Arial"/>
          <w:color w:val="000000"/>
        </w:rPr>
        <w:t>made significant changes</w:t>
      </w:r>
      <w:r w:rsidR="007D7818" w:rsidRPr="00FF60D9">
        <w:rPr>
          <w:rFonts w:ascii="Arial" w:eastAsia="Times New Roman" w:hAnsi="Arial" w:cs="Arial"/>
          <w:color w:val="000000"/>
        </w:rPr>
        <w:t xml:space="preserve"> </w:t>
      </w:r>
      <w:r w:rsidR="00672931" w:rsidRPr="00FF60D9">
        <w:rPr>
          <w:rFonts w:ascii="Arial" w:eastAsia="Times New Roman" w:hAnsi="Arial" w:cs="Arial"/>
          <w:color w:val="000000"/>
        </w:rPr>
        <w:t>in how the organization handles violence against women</w:t>
      </w:r>
      <w:r w:rsidR="007D7818" w:rsidRPr="00FF60D9">
        <w:rPr>
          <w:rFonts w:ascii="Arial" w:eastAsia="Times New Roman" w:hAnsi="Arial" w:cs="Arial"/>
          <w:color w:val="000000"/>
        </w:rPr>
        <w:t xml:space="preserve">, </w:t>
      </w:r>
      <w:r w:rsidR="00850C96" w:rsidRPr="00FF60D9">
        <w:rPr>
          <w:rFonts w:ascii="Arial" w:eastAsia="Times New Roman" w:hAnsi="Arial" w:cs="Arial"/>
          <w:color w:val="000000"/>
        </w:rPr>
        <w:t>the reality</w:t>
      </w:r>
      <w:r w:rsidR="00BB763A" w:rsidRPr="00FF60D9">
        <w:rPr>
          <w:rFonts w:ascii="Arial" w:eastAsia="Times New Roman" w:hAnsi="Arial" w:cs="Arial"/>
          <w:color w:val="000000"/>
        </w:rPr>
        <w:t>,</w:t>
      </w:r>
      <w:r w:rsidR="00850C96" w:rsidRPr="00FF60D9">
        <w:rPr>
          <w:rFonts w:ascii="Arial" w:eastAsia="Times New Roman" w:hAnsi="Arial" w:cs="Arial"/>
          <w:color w:val="000000"/>
        </w:rPr>
        <w:t xml:space="preserve"> decades </w:t>
      </w:r>
      <w:r w:rsidR="00BB763A" w:rsidRPr="00FF60D9">
        <w:rPr>
          <w:rFonts w:ascii="Arial" w:eastAsia="Times New Roman" w:hAnsi="Arial" w:cs="Arial"/>
          <w:color w:val="000000"/>
        </w:rPr>
        <w:t>later,</w:t>
      </w:r>
      <w:r w:rsidR="00850C96" w:rsidRPr="00FF60D9">
        <w:rPr>
          <w:rFonts w:ascii="Arial" w:eastAsia="Times New Roman" w:hAnsi="Arial" w:cs="Arial"/>
          <w:color w:val="000000"/>
        </w:rPr>
        <w:t xml:space="preserve"> is </w:t>
      </w:r>
      <w:r w:rsidR="00333184" w:rsidRPr="00FF60D9">
        <w:rPr>
          <w:rFonts w:ascii="Arial" w:eastAsia="Times New Roman" w:hAnsi="Arial" w:cs="Arial"/>
          <w:color w:val="000000"/>
        </w:rPr>
        <w:t xml:space="preserve">an imbalanced </w:t>
      </w:r>
      <w:r w:rsidR="00BB763A" w:rsidRPr="00FF60D9">
        <w:rPr>
          <w:rFonts w:ascii="Arial" w:eastAsia="Times New Roman" w:hAnsi="Arial" w:cs="Arial"/>
          <w:color w:val="000000"/>
        </w:rPr>
        <w:t>outcome in addressing</w:t>
      </w:r>
      <w:r w:rsidR="00E837BC" w:rsidRPr="00FF60D9">
        <w:rPr>
          <w:rFonts w:ascii="Arial" w:eastAsia="Times New Roman" w:hAnsi="Arial" w:cs="Arial"/>
          <w:color w:val="000000"/>
        </w:rPr>
        <w:t xml:space="preserve"> the overall </w:t>
      </w:r>
      <w:r w:rsidRPr="00FF60D9">
        <w:rPr>
          <w:rFonts w:ascii="Arial" w:eastAsia="Times New Roman" w:hAnsi="Arial" w:cs="Arial"/>
          <w:color w:val="000000"/>
        </w:rPr>
        <w:t xml:space="preserve">cultural </w:t>
      </w:r>
      <w:r w:rsidR="00E837BC" w:rsidRPr="00FF60D9">
        <w:rPr>
          <w:rFonts w:ascii="Arial" w:eastAsia="Times New Roman" w:hAnsi="Arial" w:cs="Arial"/>
          <w:color w:val="000000"/>
        </w:rPr>
        <w:t xml:space="preserve">problem </w:t>
      </w:r>
      <w:r w:rsidRPr="00FF60D9">
        <w:rPr>
          <w:rFonts w:ascii="Arial" w:eastAsia="Times New Roman" w:hAnsi="Arial" w:cs="Arial"/>
          <w:color w:val="000000"/>
        </w:rPr>
        <w:t>that perpetuates and is complicit in</w:t>
      </w:r>
      <w:r w:rsidR="00E837BC" w:rsidRPr="00FF60D9">
        <w:rPr>
          <w:rFonts w:ascii="Arial" w:eastAsia="Times New Roman" w:hAnsi="Arial" w:cs="Arial"/>
          <w:color w:val="000000"/>
        </w:rPr>
        <w:t xml:space="preserve"> violence against women</w:t>
      </w:r>
      <w:r w:rsidR="00862FA2" w:rsidRPr="00FF60D9">
        <w:rPr>
          <w:rFonts w:ascii="Arial" w:eastAsia="Times New Roman" w:hAnsi="Arial" w:cs="Arial"/>
          <w:color w:val="000000"/>
        </w:rPr>
        <w:t>.</w:t>
      </w:r>
      <w:r w:rsidR="00333184" w:rsidRPr="00FF60D9">
        <w:rPr>
          <w:rFonts w:ascii="Arial" w:eastAsia="Times New Roman" w:hAnsi="Arial" w:cs="Arial"/>
          <w:color w:val="000000"/>
        </w:rPr>
        <w:t xml:space="preserve"> </w:t>
      </w:r>
    </w:p>
    <w:p w14:paraId="3508F7A0" w14:textId="77777777" w:rsidR="006A28F3" w:rsidRPr="00FF60D9" w:rsidRDefault="006A28F3" w:rsidP="00FF60D9">
      <w:pPr>
        <w:spacing w:line="480" w:lineRule="auto"/>
        <w:rPr>
          <w:rFonts w:ascii="Arial" w:eastAsia="Times New Roman" w:hAnsi="Arial" w:cs="Arial"/>
          <w:color w:val="000000"/>
        </w:rPr>
      </w:pPr>
    </w:p>
    <w:p w14:paraId="22609001" w14:textId="77777777" w:rsidR="00FF60D9" w:rsidRDefault="00462E24" w:rsidP="00FF60D9">
      <w:pPr>
        <w:spacing w:line="480" w:lineRule="auto"/>
        <w:rPr>
          <w:rFonts w:ascii="Arial" w:hAnsi="Arial" w:cs="Arial"/>
        </w:rPr>
      </w:pPr>
      <w:r w:rsidRPr="00FF60D9">
        <w:rPr>
          <w:rFonts w:ascii="Arial" w:hAnsi="Arial" w:cs="Arial"/>
        </w:rPr>
        <w:t xml:space="preserve">The goal of this </w:t>
      </w:r>
      <w:r w:rsidR="006A28F3" w:rsidRPr="00FF60D9">
        <w:rPr>
          <w:rFonts w:ascii="Arial" w:hAnsi="Arial" w:cs="Arial"/>
        </w:rPr>
        <w:t>article is</w:t>
      </w:r>
      <w:r w:rsidRPr="00FF60D9">
        <w:rPr>
          <w:rFonts w:ascii="Arial" w:hAnsi="Arial" w:cs="Arial"/>
        </w:rPr>
        <w:t xml:space="preserve"> to identify the </w:t>
      </w:r>
      <w:r w:rsidR="00FF60D9">
        <w:rPr>
          <w:rFonts w:ascii="Arial" w:hAnsi="Arial" w:cs="Arial"/>
        </w:rPr>
        <w:t xml:space="preserve">specific </w:t>
      </w:r>
      <w:r w:rsidRPr="00FF60D9">
        <w:rPr>
          <w:rFonts w:ascii="Arial" w:hAnsi="Arial" w:cs="Arial"/>
        </w:rPr>
        <w:t xml:space="preserve">areas in which Coast Guard policies and general military legislation </w:t>
      </w:r>
      <w:r w:rsidR="005C4B94" w:rsidRPr="00FF60D9">
        <w:rPr>
          <w:rFonts w:ascii="Arial" w:hAnsi="Arial" w:cs="Arial"/>
        </w:rPr>
        <w:t>underserve survivors</w:t>
      </w:r>
      <w:r w:rsidR="006A28F3" w:rsidRPr="00FF60D9">
        <w:rPr>
          <w:rFonts w:ascii="Arial" w:hAnsi="Arial" w:cs="Arial"/>
        </w:rPr>
        <w:t xml:space="preserve"> of IPV</w:t>
      </w:r>
      <w:r w:rsidR="00FF60D9">
        <w:rPr>
          <w:rFonts w:ascii="Arial" w:hAnsi="Arial" w:cs="Arial"/>
        </w:rPr>
        <w:t>, to explain why the systems in place for instances of IPV and SA should at least match each other in order to be effective</w:t>
      </w:r>
      <w:r w:rsidRPr="00FF60D9">
        <w:rPr>
          <w:rFonts w:ascii="Arial" w:hAnsi="Arial" w:cs="Arial"/>
        </w:rPr>
        <w:t xml:space="preserve">, and to recommend changes that will </w:t>
      </w:r>
      <w:r w:rsidR="005C4B94" w:rsidRPr="00FF60D9">
        <w:rPr>
          <w:rFonts w:ascii="Arial" w:hAnsi="Arial" w:cs="Arial"/>
        </w:rPr>
        <w:t>positively affect the culture for survivors, perpetrators, and bystanders</w:t>
      </w:r>
      <w:r w:rsidRPr="00FF60D9">
        <w:rPr>
          <w:rFonts w:ascii="Arial" w:hAnsi="Arial" w:cs="Arial"/>
        </w:rPr>
        <w:t xml:space="preserve">. </w:t>
      </w:r>
    </w:p>
    <w:p w14:paraId="12E943D8" w14:textId="77777777" w:rsidR="00FF60D9" w:rsidRDefault="00FF60D9" w:rsidP="00FF60D9">
      <w:pPr>
        <w:spacing w:line="480" w:lineRule="auto"/>
        <w:rPr>
          <w:rFonts w:ascii="Arial" w:hAnsi="Arial" w:cs="Arial"/>
          <w:color w:val="000000" w:themeColor="text1"/>
        </w:rPr>
      </w:pPr>
    </w:p>
    <w:p w14:paraId="3382BCD9" w14:textId="6D8142B6" w:rsidR="00462E24" w:rsidRPr="00FF60D9" w:rsidRDefault="00462E24" w:rsidP="00FF60D9">
      <w:pPr>
        <w:spacing w:line="480" w:lineRule="auto"/>
        <w:rPr>
          <w:rFonts w:ascii="Arial" w:hAnsi="Arial" w:cs="Arial"/>
          <w:color w:val="000000" w:themeColor="text1"/>
        </w:rPr>
      </w:pPr>
      <w:r w:rsidRPr="00FF60D9">
        <w:rPr>
          <w:rFonts w:ascii="Arial" w:hAnsi="Arial" w:cs="Arial"/>
          <w:color w:val="000000" w:themeColor="text1"/>
        </w:rPr>
        <w:t xml:space="preserve">First, I will discuss what IPV is, give relevant definitions, and lay out the most important statistical data in real world terms. Then, I will make the connection between </w:t>
      </w:r>
      <w:r w:rsidR="00FF60D9">
        <w:rPr>
          <w:rFonts w:ascii="Arial" w:hAnsi="Arial" w:cs="Arial"/>
          <w:color w:val="000000" w:themeColor="text1"/>
        </w:rPr>
        <w:t>IPV and SA</w:t>
      </w:r>
      <w:r w:rsidRPr="00FF60D9">
        <w:rPr>
          <w:rFonts w:ascii="Arial" w:hAnsi="Arial" w:cs="Arial"/>
          <w:color w:val="000000" w:themeColor="text1"/>
        </w:rPr>
        <w:t xml:space="preserve"> to show how the two types of harm often overlap</w:t>
      </w:r>
      <w:r w:rsidR="00FF60D9">
        <w:rPr>
          <w:rFonts w:ascii="Arial" w:hAnsi="Arial" w:cs="Arial"/>
          <w:color w:val="000000" w:themeColor="text1"/>
        </w:rPr>
        <w:t xml:space="preserve"> or are indistinguishable from one another</w:t>
      </w:r>
      <w:r w:rsidRPr="00FF60D9">
        <w:rPr>
          <w:rFonts w:ascii="Arial" w:hAnsi="Arial" w:cs="Arial"/>
          <w:color w:val="000000" w:themeColor="text1"/>
        </w:rPr>
        <w:t xml:space="preserve">. I will </w:t>
      </w:r>
      <w:r w:rsidR="00FF60D9">
        <w:rPr>
          <w:rFonts w:ascii="Arial" w:hAnsi="Arial" w:cs="Arial"/>
          <w:color w:val="000000" w:themeColor="text1"/>
        </w:rPr>
        <w:t>then discuss</w:t>
      </w:r>
      <w:r w:rsidRPr="00FF60D9">
        <w:rPr>
          <w:rFonts w:ascii="Arial" w:hAnsi="Arial" w:cs="Arial"/>
          <w:color w:val="000000" w:themeColor="text1"/>
        </w:rPr>
        <w:t xml:space="preserve"> and analyze the governing Federal laws and relevant Coast Guard policies implemented from those laws. Specifically, this section will reveal the disparity </w:t>
      </w:r>
      <w:r w:rsidR="00C30D45" w:rsidRPr="00FF60D9">
        <w:rPr>
          <w:rFonts w:ascii="Arial" w:hAnsi="Arial" w:cs="Arial"/>
          <w:color w:val="000000" w:themeColor="text1"/>
        </w:rPr>
        <w:t>between the</w:t>
      </w:r>
      <w:r w:rsidRPr="00FF60D9">
        <w:rPr>
          <w:rFonts w:ascii="Arial" w:hAnsi="Arial" w:cs="Arial"/>
          <w:color w:val="000000" w:themeColor="text1"/>
        </w:rPr>
        <w:t xml:space="preserve"> vast number of resources and assistance that sexual assault survivors receive, but that IPV survivors do not have access to, further </w:t>
      </w:r>
      <w:r w:rsidR="005C4B94" w:rsidRPr="00FF60D9">
        <w:rPr>
          <w:rFonts w:ascii="Arial" w:hAnsi="Arial" w:cs="Arial"/>
          <w:color w:val="000000" w:themeColor="text1"/>
        </w:rPr>
        <w:t>discouraging</w:t>
      </w:r>
      <w:r w:rsidRPr="00FF60D9">
        <w:rPr>
          <w:rFonts w:ascii="Arial" w:hAnsi="Arial" w:cs="Arial"/>
          <w:color w:val="000000" w:themeColor="text1"/>
        </w:rPr>
        <w:t xml:space="preserve"> them from reporting the crimes</w:t>
      </w:r>
      <w:r w:rsidR="00FF60D9">
        <w:rPr>
          <w:rFonts w:ascii="Arial" w:hAnsi="Arial" w:cs="Arial"/>
          <w:color w:val="000000" w:themeColor="text1"/>
        </w:rPr>
        <w:t xml:space="preserve">, and perpetuating the myth that IPV is a family matter </w:t>
      </w:r>
      <w:r w:rsidR="00FF60D9">
        <w:rPr>
          <w:rFonts w:ascii="Arial" w:hAnsi="Arial" w:cs="Arial"/>
          <w:color w:val="000000" w:themeColor="text1"/>
        </w:rPr>
        <w:lastRenderedPageBreak/>
        <w:t>and not a crime</w:t>
      </w:r>
      <w:r w:rsidRPr="00FF60D9">
        <w:rPr>
          <w:rFonts w:ascii="Arial" w:hAnsi="Arial" w:cs="Arial"/>
          <w:color w:val="000000" w:themeColor="text1"/>
        </w:rPr>
        <w:t>. Finally, I will take the statistics, the current laws, and the needs of survivors to make specific, actionable, and reasonable recommendations</w:t>
      </w:r>
      <w:r w:rsidR="00FF60D9">
        <w:rPr>
          <w:rFonts w:ascii="Arial" w:hAnsi="Arial" w:cs="Arial"/>
          <w:color w:val="000000" w:themeColor="text1"/>
        </w:rPr>
        <w:t xml:space="preserve"> to CG leaders and members of Congress</w:t>
      </w:r>
      <w:r w:rsidRPr="00FF60D9">
        <w:rPr>
          <w:rFonts w:ascii="Arial" w:hAnsi="Arial" w:cs="Arial"/>
          <w:color w:val="000000" w:themeColor="text1"/>
        </w:rPr>
        <w:t>.</w:t>
      </w:r>
    </w:p>
    <w:p w14:paraId="7B50B78B" w14:textId="77777777" w:rsidR="002B1F98" w:rsidRPr="00FF60D9" w:rsidRDefault="002B1F98" w:rsidP="00FF60D9">
      <w:pPr>
        <w:pStyle w:val="ListParagraph"/>
        <w:spacing w:line="480" w:lineRule="auto"/>
        <w:ind w:left="360"/>
        <w:rPr>
          <w:rFonts w:ascii="Arial" w:hAnsi="Arial" w:cs="Arial"/>
          <w:b/>
        </w:rPr>
      </w:pPr>
    </w:p>
    <w:p w14:paraId="4F002A65" w14:textId="4D11C7B4" w:rsidR="00A053E6" w:rsidRPr="00FF60D9" w:rsidRDefault="00A053E6" w:rsidP="00FF60D9">
      <w:pPr>
        <w:pStyle w:val="ListParagraph"/>
        <w:numPr>
          <w:ilvl w:val="0"/>
          <w:numId w:val="9"/>
        </w:numPr>
        <w:spacing w:line="480" w:lineRule="auto"/>
        <w:rPr>
          <w:rFonts w:ascii="Arial" w:hAnsi="Arial" w:cs="Arial"/>
          <w:b/>
        </w:rPr>
      </w:pPr>
      <w:r w:rsidRPr="00FF60D9">
        <w:rPr>
          <w:rFonts w:ascii="Arial" w:hAnsi="Arial" w:cs="Arial"/>
          <w:b/>
        </w:rPr>
        <w:t>What is Intimate Partner Violence</w:t>
      </w:r>
    </w:p>
    <w:p w14:paraId="074D154D" w14:textId="38A67C63" w:rsidR="00DE06AB" w:rsidRPr="00FF60D9" w:rsidRDefault="00DE06AB" w:rsidP="00FF60D9">
      <w:pPr>
        <w:pStyle w:val="ListParagraph"/>
        <w:numPr>
          <w:ilvl w:val="1"/>
          <w:numId w:val="9"/>
        </w:numPr>
        <w:spacing w:line="480" w:lineRule="auto"/>
        <w:rPr>
          <w:rFonts w:ascii="Arial" w:hAnsi="Arial" w:cs="Arial"/>
          <w:b/>
        </w:rPr>
      </w:pPr>
      <w:r w:rsidRPr="00FF60D9">
        <w:rPr>
          <w:rFonts w:ascii="Arial" w:hAnsi="Arial" w:cs="Arial"/>
          <w:b/>
        </w:rPr>
        <w:t>Generally</w:t>
      </w:r>
    </w:p>
    <w:p w14:paraId="65FEAF37" w14:textId="054A32D1" w:rsidR="00DE06AB" w:rsidRPr="00FF60D9" w:rsidRDefault="00DE06AB" w:rsidP="00FF60D9">
      <w:pPr>
        <w:pStyle w:val="ListParagraph"/>
        <w:spacing w:line="480" w:lineRule="auto"/>
        <w:rPr>
          <w:rFonts w:ascii="Arial" w:hAnsi="Arial" w:cs="Arial"/>
        </w:rPr>
      </w:pPr>
      <w:r w:rsidRPr="00FF60D9">
        <w:rPr>
          <w:rFonts w:ascii="Arial" w:hAnsi="Arial" w:cs="Arial"/>
        </w:rPr>
        <w:t>Violence in general is a crime that society is willing to accept as wrong. Assault and battery have been fairly straightforward crimes since the common law</w:t>
      </w:r>
      <w:r w:rsidR="001B78A0" w:rsidRPr="00FF60D9">
        <w:rPr>
          <w:rFonts w:ascii="Arial" w:hAnsi="Arial" w:cs="Arial"/>
        </w:rPr>
        <w:t xml:space="preserve">, although the same crimes in the context of the home were treated </w:t>
      </w:r>
      <w:r w:rsidR="007D7818" w:rsidRPr="00FF60D9">
        <w:rPr>
          <w:rFonts w:ascii="Arial" w:hAnsi="Arial" w:cs="Arial"/>
        </w:rPr>
        <w:t xml:space="preserve">purely </w:t>
      </w:r>
      <w:r w:rsidR="00672931" w:rsidRPr="00FF60D9">
        <w:rPr>
          <w:rFonts w:ascii="Arial" w:hAnsi="Arial" w:cs="Arial"/>
        </w:rPr>
        <w:t xml:space="preserve">as a </w:t>
      </w:r>
      <w:r w:rsidR="001B78A0" w:rsidRPr="00FF60D9">
        <w:rPr>
          <w:rFonts w:ascii="Arial" w:hAnsi="Arial" w:cs="Arial"/>
        </w:rPr>
        <w:t>family matter</w:t>
      </w:r>
      <w:r w:rsidR="00672931" w:rsidRPr="00FF60D9">
        <w:rPr>
          <w:rFonts w:ascii="Arial" w:hAnsi="Arial" w:cs="Arial"/>
        </w:rPr>
        <w:t xml:space="preserve"> </w:t>
      </w:r>
      <w:r w:rsidR="00672931" w:rsidRPr="00FF60D9">
        <w:rPr>
          <w:rFonts w:ascii="Arial" w:hAnsi="Arial" w:cs="Arial"/>
        </w:rPr>
        <w:softHyphen/>
        <w:t>–</w:t>
      </w:r>
      <w:r w:rsidR="001B78A0" w:rsidRPr="00FF60D9">
        <w:rPr>
          <w:rFonts w:ascii="Arial" w:hAnsi="Arial" w:cs="Arial"/>
        </w:rPr>
        <w:t xml:space="preserve"> one where law enforcement had no place</w:t>
      </w:r>
      <w:r w:rsidR="00672931" w:rsidRPr="00FF60D9">
        <w:rPr>
          <w:rFonts w:ascii="Arial" w:hAnsi="Arial" w:cs="Arial"/>
        </w:rPr>
        <w:t xml:space="preserve"> –</w:t>
      </w:r>
      <w:r w:rsidR="001B78A0" w:rsidRPr="00FF60D9">
        <w:rPr>
          <w:rFonts w:ascii="Arial" w:hAnsi="Arial" w:cs="Arial"/>
        </w:rPr>
        <w:t xml:space="preserve"> until at least the late 1900’s</w:t>
      </w:r>
      <w:r w:rsidRPr="00FF60D9">
        <w:rPr>
          <w:rFonts w:ascii="Arial" w:hAnsi="Arial" w:cs="Arial"/>
        </w:rPr>
        <w:t>.</w:t>
      </w:r>
      <w:r w:rsidR="001B78A0" w:rsidRPr="00FF60D9">
        <w:rPr>
          <w:rStyle w:val="FootnoteReference"/>
          <w:rFonts w:ascii="Arial" w:hAnsi="Arial" w:cs="Arial"/>
        </w:rPr>
        <w:footnoteReference w:id="13"/>
      </w:r>
      <w:r w:rsidRPr="00FF60D9">
        <w:rPr>
          <w:rFonts w:ascii="Arial" w:hAnsi="Arial" w:cs="Arial"/>
        </w:rPr>
        <w:t xml:space="preserve"> Violence in the conte</w:t>
      </w:r>
      <w:r w:rsidR="001B78A0" w:rsidRPr="00FF60D9">
        <w:rPr>
          <w:rFonts w:ascii="Arial" w:hAnsi="Arial" w:cs="Arial"/>
        </w:rPr>
        <w:t>xt of an intimate relationship</w:t>
      </w:r>
      <w:r w:rsidR="00672931" w:rsidRPr="00FF60D9">
        <w:rPr>
          <w:rFonts w:ascii="Arial" w:hAnsi="Arial" w:cs="Arial"/>
        </w:rPr>
        <w:t xml:space="preserve">, however, </w:t>
      </w:r>
      <w:r w:rsidR="001B78A0" w:rsidRPr="00FF60D9">
        <w:rPr>
          <w:rFonts w:ascii="Arial" w:hAnsi="Arial" w:cs="Arial"/>
        </w:rPr>
        <w:t xml:space="preserve"> </w:t>
      </w:r>
      <w:r w:rsidRPr="00FF60D9">
        <w:rPr>
          <w:rFonts w:ascii="Arial" w:hAnsi="Arial" w:cs="Arial"/>
        </w:rPr>
        <w:t>is a pervasive problem that society has yet to squarely define, let alone tackle as the widespread, insidious problem that it is. The intimacy in a violent relationship adds dynamics of coercion and control as well as layers of psychological fear, harm, and manipulation that can create an environment ripe for continued abuse, all the while conveying to the survivor that it is their faul</w:t>
      </w:r>
      <w:r w:rsidR="00626301" w:rsidRPr="00FF60D9">
        <w:rPr>
          <w:rFonts w:ascii="Arial" w:hAnsi="Arial" w:cs="Arial"/>
        </w:rPr>
        <w:t>t and that it is deserved.</w:t>
      </w:r>
      <w:r w:rsidR="001B78A0" w:rsidRPr="00FF60D9">
        <w:rPr>
          <w:rStyle w:val="FootnoteReference"/>
          <w:rFonts w:ascii="Arial" w:hAnsi="Arial" w:cs="Arial"/>
        </w:rPr>
        <w:footnoteReference w:id="14"/>
      </w:r>
      <w:r w:rsidR="00626301" w:rsidRPr="00FF60D9">
        <w:rPr>
          <w:rFonts w:ascii="Arial" w:hAnsi="Arial" w:cs="Arial"/>
        </w:rPr>
        <w:t xml:space="preserve"> Th</w:t>
      </w:r>
      <w:r w:rsidR="00672931" w:rsidRPr="00FF60D9">
        <w:rPr>
          <w:rFonts w:ascii="Arial" w:hAnsi="Arial" w:cs="Arial"/>
        </w:rPr>
        <w:t>e</w:t>
      </w:r>
      <w:r w:rsidRPr="00FF60D9">
        <w:rPr>
          <w:rFonts w:ascii="Arial" w:hAnsi="Arial" w:cs="Arial"/>
        </w:rPr>
        <w:t xml:space="preserve"> intimacy </w:t>
      </w:r>
      <w:r w:rsidR="00672931" w:rsidRPr="00FF60D9">
        <w:rPr>
          <w:rFonts w:ascii="Arial" w:hAnsi="Arial" w:cs="Arial"/>
        </w:rPr>
        <w:t xml:space="preserve">also </w:t>
      </w:r>
      <w:r w:rsidRPr="00FF60D9">
        <w:rPr>
          <w:rFonts w:ascii="Arial" w:hAnsi="Arial" w:cs="Arial"/>
          <w:color w:val="000000" w:themeColor="text1"/>
        </w:rPr>
        <w:t>aggravate</w:t>
      </w:r>
      <w:r w:rsidR="00626301" w:rsidRPr="00FF60D9">
        <w:rPr>
          <w:rFonts w:ascii="Arial" w:hAnsi="Arial" w:cs="Arial"/>
          <w:color w:val="000000" w:themeColor="text1"/>
        </w:rPr>
        <w:t>s</w:t>
      </w:r>
      <w:r w:rsidRPr="00FF60D9">
        <w:rPr>
          <w:rFonts w:ascii="Arial" w:hAnsi="Arial" w:cs="Arial"/>
        </w:rPr>
        <w:t xml:space="preserve"> </w:t>
      </w:r>
      <w:r w:rsidR="00626301" w:rsidRPr="00FF60D9">
        <w:rPr>
          <w:rFonts w:ascii="Arial" w:hAnsi="Arial" w:cs="Arial"/>
        </w:rPr>
        <w:t>violence in a way</w:t>
      </w:r>
      <w:r w:rsidRPr="00FF60D9">
        <w:rPr>
          <w:rFonts w:ascii="Arial" w:hAnsi="Arial" w:cs="Arial"/>
        </w:rPr>
        <w:t xml:space="preserve"> that </w:t>
      </w:r>
      <w:r w:rsidR="00626301" w:rsidRPr="00FF60D9">
        <w:rPr>
          <w:rFonts w:ascii="Arial" w:hAnsi="Arial" w:cs="Arial"/>
        </w:rPr>
        <w:t>is simply</w:t>
      </w:r>
      <w:r w:rsidRPr="00FF60D9">
        <w:rPr>
          <w:rFonts w:ascii="Arial" w:hAnsi="Arial" w:cs="Arial"/>
        </w:rPr>
        <w:t xml:space="preserve"> not present in other types of violence occurrin</w:t>
      </w:r>
      <w:r w:rsidR="008B18FA" w:rsidRPr="00FF60D9">
        <w:rPr>
          <w:rFonts w:ascii="Arial" w:hAnsi="Arial" w:cs="Arial"/>
        </w:rPr>
        <w:t>g between non-intimate partners</w:t>
      </w:r>
      <w:r w:rsidR="00672931" w:rsidRPr="00FF60D9">
        <w:rPr>
          <w:rFonts w:ascii="Arial" w:hAnsi="Arial" w:cs="Arial"/>
        </w:rPr>
        <w:t>. M</w:t>
      </w:r>
      <w:r w:rsidR="008B18FA" w:rsidRPr="00FF60D9">
        <w:rPr>
          <w:rFonts w:ascii="Arial" w:hAnsi="Arial" w:cs="Arial"/>
        </w:rPr>
        <w:t xml:space="preserve">eanwhile other factors such as children, shared finances, home ownership, cultural views on </w:t>
      </w:r>
      <w:r w:rsidR="008B18FA" w:rsidRPr="00FF60D9">
        <w:rPr>
          <w:rFonts w:ascii="Arial" w:hAnsi="Arial" w:cs="Arial"/>
        </w:rPr>
        <w:lastRenderedPageBreak/>
        <w:t>marriage and other factors work to keep the cycle of abuse going over varying lengths of time</w:t>
      </w:r>
      <w:r w:rsidR="00672931" w:rsidRPr="00FF60D9">
        <w:rPr>
          <w:rFonts w:ascii="Arial" w:hAnsi="Arial" w:cs="Arial"/>
        </w:rPr>
        <w:t xml:space="preserve"> – sometimes lasting an entire lifetime.</w:t>
      </w:r>
      <w:r w:rsidR="00672931" w:rsidRPr="00FF60D9">
        <w:rPr>
          <w:rStyle w:val="FootnoteReference"/>
          <w:rFonts w:ascii="Arial" w:hAnsi="Arial" w:cs="Arial"/>
        </w:rPr>
        <w:footnoteReference w:id="15"/>
      </w:r>
    </w:p>
    <w:p w14:paraId="00F9F676" w14:textId="77777777" w:rsidR="00C30D45" w:rsidRPr="00FF60D9" w:rsidRDefault="00C30D45" w:rsidP="00FF60D9">
      <w:pPr>
        <w:pStyle w:val="ListParagraph"/>
        <w:spacing w:line="480" w:lineRule="auto"/>
        <w:rPr>
          <w:rFonts w:ascii="Arial" w:hAnsi="Arial" w:cs="Arial"/>
        </w:rPr>
      </w:pPr>
    </w:p>
    <w:p w14:paraId="35FAB75A" w14:textId="0DC029F3" w:rsidR="009037C4" w:rsidRPr="00FF60D9" w:rsidRDefault="003D3CD6" w:rsidP="00FF60D9">
      <w:pPr>
        <w:pStyle w:val="ListParagraph"/>
        <w:spacing w:line="480" w:lineRule="auto"/>
        <w:rPr>
          <w:rFonts w:ascii="Arial" w:hAnsi="Arial" w:cs="Arial"/>
        </w:rPr>
      </w:pPr>
      <w:r w:rsidRPr="00FF60D9">
        <w:rPr>
          <w:rFonts w:ascii="Arial" w:hAnsi="Arial" w:cs="Arial"/>
        </w:rPr>
        <w:t xml:space="preserve">There are three </w:t>
      </w:r>
      <w:r w:rsidR="001B78A0" w:rsidRPr="00FF60D9">
        <w:rPr>
          <w:rFonts w:ascii="Arial" w:hAnsi="Arial" w:cs="Arial"/>
        </w:rPr>
        <w:t xml:space="preserve">main </w:t>
      </w:r>
      <w:r w:rsidRPr="00FF60D9">
        <w:rPr>
          <w:rFonts w:ascii="Arial" w:hAnsi="Arial" w:cs="Arial"/>
        </w:rPr>
        <w:t>typologies of violence as described by</w:t>
      </w:r>
      <w:r w:rsidR="001B78A0" w:rsidRPr="00FF60D9">
        <w:rPr>
          <w:rFonts w:ascii="Arial" w:hAnsi="Arial" w:cs="Arial"/>
        </w:rPr>
        <w:t xml:space="preserve"> </w:t>
      </w:r>
      <w:r w:rsidR="00672931" w:rsidRPr="00FF60D9">
        <w:rPr>
          <w:rFonts w:ascii="Arial" w:hAnsi="Arial" w:cs="Arial"/>
        </w:rPr>
        <w:t xml:space="preserve">Joan B. Kelly and </w:t>
      </w:r>
      <w:r w:rsidR="001B78A0" w:rsidRPr="00FF60D9">
        <w:rPr>
          <w:rFonts w:ascii="Arial" w:hAnsi="Arial" w:cs="Arial"/>
        </w:rPr>
        <w:t xml:space="preserve">Michael P. Johnson, </w:t>
      </w:r>
      <w:r w:rsidR="00672931" w:rsidRPr="00FF60D9">
        <w:rPr>
          <w:rFonts w:ascii="Arial" w:hAnsi="Arial" w:cs="Arial"/>
        </w:rPr>
        <w:t>two</w:t>
      </w:r>
      <w:r w:rsidR="001B78A0" w:rsidRPr="00FF60D9">
        <w:rPr>
          <w:rFonts w:ascii="Arial" w:hAnsi="Arial" w:cs="Arial"/>
        </w:rPr>
        <w:t xml:space="preserve"> prominent </w:t>
      </w:r>
      <w:r w:rsidR="006D38A4" w:rsidRPr="00FF60D9">
        <w:rPr>
          <w:rFonts w:ascii="Arial" w:hAnsi="Arial" w:cs="Arial"/>
        </w:rPr>
        <w:t>academic</w:t>
      </w:r>
      <w:r w:rsidR="00672931" w:rsidRPr="00FF60D9">
        <w:rPr>
          <w:rFonts w:ascii="Arial" w:hAnsi="Arial" w:cs="Arial"/>
        </w:rPr>
        <w:t>s</w:t>
      </w:r>
      <w:r w:rsidR="006D38A4" w:rsidRPr="00FF60D9">
        <w:rPr>
          <w:rFonts w:ascii="Arial" w:hAnsi="Arial" w:cs="Arial"/>
        </w:rPr>
        <w:t xml:space="preserve"> </w:t>
      </w:r>
      <w:r w:rsidRPr="00FF60D9">
        <w:rPr>
          <w:rFonts w:ascii="Arial" w:hAnsi="Arial" w:cs="Arial"/>
        </w:rPr>
        <w:t>in the study of IPV.</w:t>
      </w:r>
      <w:r w:rsidR="00E748A2" w:rsidRPr="00FF60D9">
        <w:rPr>
          <w:rStyle w:val="FootnoteReference"/>
          <w:rFonts w:ascii="Arial" w:hAnsi="Arial" w:cs="Arial"/>
        </w:rPr>
        <w:footnoteReference w:id="16"/>
      </w:r>
      <w:r w:rsidRPr="00FF60D9">
        <w:rPr>
          <w:rFonts w:ascii="Arial" w:hAnsi="Arial" w:cs="Arial"/>
        </w:rPr>
        <w:t xml:space="preserve"> This typology is</w:t>
      </w:r>
      <w:r w:rsidR="006D38A4" w:rsidRPr="00FF60D9">
        <w:rPr>
          <w:rFonts w:ascii="Arial" w:hAnsi="Arial" w:cs="Arial"/>
        </w:rPr>
        <w:t xml:space="preserve"> based on the patter</w:t>
      </w:r>
      <w:r w:rsidR="00672931" w:rsidRPr="00FF60D9">
        <w:rPr>
          <w:rFonts w:ascii="Arial" w:hAnsi="Arial" w:cs="Arial"/>
        </w:rPr>
        <w:t>n</w:t>
      </w:r>
      <w:r w:rsidR="006D38A4" w:rsidRPr="00FF60D9">
        <w:rPr>
          <w:rFonts w:ascii="Arial" w:hAnsi="Arial" w:cs="Arial"/>
        </w:rPr>
        <w:t>s and purpose of the violenc</w:t>
      </w:r>
      <w:r w:rsidRPr="00FF60D9">
        <w:rPr>
          <w:rFonts w:ascii="Arial" w:hAnsi="Arial" w:cs="Arial"/>
        </w:rPr>
        <w:t>e</w:t>
      </w:r>
      <w:r w:rsidR="006D38A4" w:rsidRPr="00FF60D9">
        <w:rPr>
          <w:rFonts w:ascii="Arial" w:hAnsi="Arial" w:cs="Arial"/>
        </w:rPr>
        <w:t xml:space="preserve">. </w:t>
      </w:r>
      <w:r w:rsidRPr="00FF60D9">
        <w:rPr>
          <w:rFonts w:ascii="Arial" w:hAnsi="Arial" w:cs="Arial"/>
        </w:rPr>
        <w:t xml:space="preserve">Situational violence, the first type, is the kind of violence that may come to </w:t>
      </w:r>
      <w:r w:rsidR="008555EF" w:rsidRPr="00FF60D9">
        <w:rPr>
          <w:rFonts w:ascii="Arial" w:hAnsi="Arial" w:cs="Arial"/>
        </w:rPr>
        <w:t>mind when one imagines a partner discovering t</w:t>
      </w:r>
      <w:r w:rsidR="00672931" w:rsidRPr="00FF60D9">
        <w:rPr>
          <w:rFonts w:ascii="Arial" w:hAnsi="Arial" w:cs="Arial"/>
        </w:rPr>
        <w:t>he</w:t>
      </w:r>
      <w:r w:rsidR="008555EF" w:rsidRPr="00FF60D9">
        <w:rPr>
          <w:rFonts w:ascii="Arial" w:hAnsi="Arial" w:cs="Arial"/>
        </w:rPr>
        <w:t xml:space="preserve"> other cheating and subsequently engaging in minor forms of violence and aggression.</w:t>
      </w:r>
      <w:r w:rsidR="00E748A2" w:rsidRPr="00FF60D9">
        <w:rPr>
          <w:rStyle w:val="FootnoteReference"/>
          <w:rFonts w:ascii="Arial" w:hAnsi="Arial" w:cs="Arial"/>
        </w:rPr>
        <w:footnoteReference w:id="17"/>
      </w:r>
      <w:r w:rsidR="008555EF" w:rsidRPr="00FF60D9">
        <w:rPr>
          <w:rFonts w:ascii="Arial" w:hAnsi="Arial" w:cs="Arial"/>
        </w:rPr>
        <w:t xml:space="preserve"> This type of violence is characterized by minor </w:t>
      </w:r>
      <w:r w:rsidR="00672931" w:rsidRPr="00FF60D9">
        <w:rPr>
          <w:rFonts w:ascii="Arial" w:hAnsi="Arial" w:cs="Arial"/>
        </w:rPr>
        <w:t xml:space="preserve">aggressions </w:t>
      </w:r>
      <w:r w:rsidR="008555EF" w:rsidRPr="00FF60D9">
        <w:rPr>
          <w:rFonts w:ascii="Arial" w:hAnsi="Arial" w:cs="Arial"/>
        </w:rPr>
        <w:t xml:space="preserve">that are out of line with typical characteristics of that person, the kind that shock even the perpetrator and </w:t>
      </w:r>
      <w:r w:rsidR="00672931" w:rsidRPr="00FF60D9">
        <w:rPr>
          <w:rFonts w:ascii="Arial" w:hAnsi="Arial" w:cs="Arial"/>
        </w:rPr>
        <w:t>will</w:t>
      </w:r>
      <w:r w:rsidR="008555EF" w:rsidRPr="00FF60D9">
        <w:rPr>
          <w:rFonts w:ascii="Arial" w:hAnsi="Arial" w:cs="Arial"/>
        </w:rPr>
        <w:t xml:space="preserve"> instill a sense of regret or sorrow.</w:t>
      </w:r>
      <w:r w:rsidR="00E748A2" w:rsidRPr="00FF60D9">
        <w:rPr>
          <w:rStyle w:val="FootnoteReference"/>
          <w:rFonts w:ascii="Arial" w:hAnsi="Arial" w:cs="Arial"/>
        </w:rPr>
        <w:footnoteReference w:id="18"/>
      </w:r>
      <w:r w:rsidR="00E748A2" w:rsidRPr="00FF60D9">
        <w:rPr>
          <w:rFonts w:ascii="Arial" w:hAnsi="Arial" w:cs="Arial"/>
        </w:rPr>
        <w:t xml:space="preserve"> Situational</w:t>
      </w:r>
      <w:r w:rsidR="008555EF" w:rsidRPr="00FF60D9">
        <w:rPr>
          <w:rFonts w:ascii="Arial" w:hAnsi="Arial" w:cs="Arial"/>
        </w:rPr>
        <w:t xml:space="preserve"> violence has a low occurrence rate per couple, and women are more likely to engage in this type of violence th</w:t>
      </w:r>
      <w:r w:rsidR="00672931" w:rsidRPr="00FF60D9">
        <w:rPr>
          <w:rFonts w:ascii="Arial" w:hAnsi="Arial" w:cs="Arial"/>
        </w:rPr>
        <w:t>a</w:t>
      </w:r>
      <w:r w:rsidR="008555EF" w:rsidRPr="00FF60D9">
        <w:rPr>
          <w:rFonts w:ascii="Arial" w:hAnsi="Arial" w:cs="Arial"/>
        </w:rPr>
        <w:t>n are men.</w:t>
      </w:r>
      <w:r w:rsidR="00E748A2" w:rsidRPr="00FF60D9">
        <w:rPr>
          <w:rStyle w:val="FootnoteReference"/>
          <w:rFonts w:ascii="Arial" w:hAnsi="Arial" w:cs="Arial"/>
        </w:rPr>
        <w:footnoteReference w:id="19"/>
      </w:r>
      <w:r w:rsidR="008555EF" w:rsidRPr="00FF60D9">
        <w:rPr>
          <w:rFonts w:ascii="Arial" w:hAnsi="Arial" w:cs="Arial"/>
        </w:rPr>
        <w:t xml:space="preserve"> </w:t>
      </w:r>
    </w:p>
    <w:p w14:paraId="1070C0DF" w14:textId="77777777" w:rsidR="00C30D45" w:rsidRPr="00FF60D9" w:rsidRDefault="00C30D45" w:rsidP="00FF60D9">
      <w:pPr>
        <w:pStyle w:val="ListParagraph"/>
        <w:spacing w:line="480" w:lineRule="auto"/>
        <w:rPr>
          <w:rFonts w:ascii="Arial" w:hAnsi="Arial" w:cs="Arial"/>
        </w:rPr>
      </w:pPr>
    </w:p>
    <w:p w14:paraId="306C2434" w14:textId="400FE01A" w:rsidR="003D3CD6" w:rsidRPr="00FF60D9" w:rsidRDefault="008555EF" w:rsidP="00FF60D9">
      <w:pPr>
        <w:pStyle w:val="ListParagraph"/>
        <w:spacing w:line="480" w:lineRule="auto"/>
        <w:rPr>
          <w:rFonts w:ascii="Arial" w:hAnsi="Arial" w:cs="Arial"/>
        </w:rPr>
      </w:pPr>
      <w:r w:rsidRPr="00FF60D9">
        <w:rPr>
          <w:rFonts w:ascii="Arial" w:hAnsi="Arial" w:cs="Arial"/>
        </w:rPr>
        <w:t>The second type is coercive controlling violence</w:t>
      </w:r>
      <w:r w:rsidR="009037C4" w:rsidRPr="00FF60D9">
        <w:rPr>
          <w:rFonts w:ascii="Arial" w:hAnsi="Arial" w:cs="Arial"/>
        </w:rPr>
        <w:t xml:space="preserve"> which is characterized by a pattern of insidious</w:t>
      </w:r>
      <w:r w:rsidRPr="00FF60D9">
        <w:rPr>
          <w:rFonts w:ascii="Arial" w:hAnsi="Arial" w:cs="Arial"/>
        </w:rPr>
        <w:t>, escalating,</w:t>
      </w:r>
      <w:r w:rsidR="009037C4" w:rsidRPr="00FF60D9">
        <w:rPr>
          <w:rFonts w:ascii="Arial" w:hAnsi="Arial" w:cs="Arial"/>
        </w:rPr>
        <w:t xml:space="preserve"> and coercive violence.</w:t>
      </w:r>
      <w:r w:rsidR="00E748A2" w:rsidRPr="00FF60D9">
        <w:rPr>
          <w:rStyle w:val="FootnoteReference"/>
          <w:rFonts w:ascii="Arial" w:hAnsi="Arial" w:cs="Arial"/>
        </w:rPr>
        <w:footnoteReference w:id="20"/>
      </w:r>
      <w:r w:rsidR="009037C4" w:rsidRPr="00FF60D9">
        <w:rPr>
          <w:rFonts w:ascii="Arial" w:hAnsi="Arial" w:cs="Arial"/>
        </w:rPr>
        <w:t xml:space="preserve"> </w:t>
      </w:r>
      <w:r w:rsidRPr="00FF60D9">
        <w:rPr>
          <w:rFonts w:ascii="Arial" w:hAnsi="Arial" w:cs="Arial"/>
        </w:rPr>
        <w:t>Coercive controlling violence covers the widest range of tactics from financial control, isolation, obsession and jealousy, sexual abuse, reproductive abuse, strangulation, stalking, threats, beatings, and murder.</w:t>
      </w:r>
      <w:r w:rsidR="00E748A2" w:rsidRPr="00FF60D9">
        <w:rPr>
          <w:rStyle w:val="FootnoteReference"/>
          <w:rFonts w:ascii="Arial" w:hAnsi="Arial" w:cs="Arial"/>
        </w:rPr>
        <w:footnoteReference w:id="21"/>
      </w:r>
      <w:r w:rsidR="009037C4" w:rsidRPr="00FF60D9">
        <w:rPr>
          <w:rFonts w:ascii="Arial" w:hAnsi="Arial" w:cs="Arial"/>
        </w:rPr>
        <w:t xml:space="preserve"> Because this type of violence has an </w:t>
      </w:r>
      <w:r w:rsidR="009037C4" w:rsidRPr="00FF60D9">
        <w:rPr>
          <w:rFonts w:ascii="Arial" w:hAnsi="Arial" w:cs="Arial"/>
        </w:rPr>
        <w:lastRenderedPageBreak/>
        <w:t>escalating nature, it typically occurs over a long period of time and includes multiple instances of abuse</w:t>
      </w:r>
      <w:r w:rsidR="008630A7" w:rsidRPr="00FF60D9">
        <w:rPr>
          <w:rFonts w:ascii="Arial" w:hAnsi="Arial" w:cs="Arial"/>
        </w:rPr>
        <w:t>; the</w:t>
      </w:r>
      <w:r w:rsidR="009037C4" w:rsidRPr="00FF60D9">
        <w:rPr>
          <w:rFonts w:ascii="Arial" w:hAnsi="Arial" w:cs="Arial"/>
        </w:rPr>
        <w:t xml:space="preserve"> median occurrence rate </w:t>
      </w:r>
      <w:r w:rsidR="008630A7" w:rsidRPr="00FF60D9">
        <w:rPr>
          <w:rFonts w:ascii="Arial" w:hAnsi="Arial" w:cs="Arial"/>
        </w:rPr>
        <w:t xml:space="preserve"> for this type of violence is</w:t>
      </w:r>
      <w:r w:rsidR="009037C4" w:rsidRPr="00FF60D9">
        <w:rPr>
          <w:rFonts w:ascii="Arial" w:hAnsi="Arial" w:cs="Arial"/>
        </w:rPr>
        <w:t xml:space="preserve"> 18 violent episodes per relationship.</w:t>
      </w:r>
      <w:r w:rsidR="00E748A2" w:rsidRPr="00FF60D9">
        <w:rPr>
          <w:rStyle w:val="FootnoteReference"/>
          <w:rFonts w:ascii="Arial" w:hAnsi="Arial" w:cs="Arial"/>
        </w:rPr>
        <w:footnoteReference w:id="22"/>
      </w:r>
      <w:r w:rsidR="009037C4" w:rsidRPr="00FF60D9">
        <w:rPr>
          <w:rFonts w:ascii="Arial" w:hAnsi="Arial" w:cs="Arial"/>
        </w:rPr>
        <w:t xml:space="preserve"> Perpetrators of coercive controlling violence are overwhelmingly male and the majority of these relationships end with social services or law enforcement intervention because of the nature of the injuries</w:t>
      </w:r>
      <w:r w:rsidR="008630A7" w:rsidRPr="00FF60D9">
        <w:rPr>
          <w:rFonts w:ascii="Arial" w:hAnsi="Arial" w:cs="Arial"/>
        </w:rPr>
        <w:t xml:space="preserve"> </w:t>
      </w:r>
      <w:r w:rsidR="009037C4" w:rsidRPr="00FF60D9">
        <w:rPr>
          <w:rFonts w:ascii="Arial" w:hAnsi="Arial" w:cs="Arial"/>
        </w:rPr>
        <w:t xml:space="preserve">or </w:t>
      </w:r>
      <w:r w:rsidR="008630A7" w:rsidRPr="00FF60D9">
        <w:rPr>
          <w:rFonts w:ascii="Arial" w:hAnsi="Arial" w:cs="Arial"/>
        </w:rPr>
        <w:t xml:space="preserve">because of </w:t>
      </w:r>
      <w:r w:rsidR="009037C4" w:rsidRPr="00FF60D9">
        <w:rPr>
          <w:rFonts w:ascii="Arial" w:hAnsi="Arial" w:cs="Arial"/>
        </w:rPr>
        <w:t>other circumstances</w:t>
      </w:r>
      <w:r w:rsidR="008630A7" w:rsidRPr="00FF60D9">
        <w:rPr>
          <w:rFonts w:ascii="Arial" w:hAnsi="Arial" w:cs="Arial"/>
        </w:rPr>
        <w:t xml:space="preserve"> like a child reporting to a teacher.</w:t>
      </w:r>
      <w:r w:rsidR="00E748A2" w:rsidRPr="00FF60D9">
        <w:rPr>
          <w:rStyle w:val="FootnoteReference"/>
          <w:rFonts w:ascii="Arial" w:hAnsi="Arial" w:cs="Arial"/>
        </w:rPr>
        <w:footnoteReference w:id="23"/>
      </w:r>
    </w:p>
    <w:p w14:paraId="4B27BDF6" w14:textId="77777777" w:rsidR="00C30D45" w:rsidRPr="00FF60D9" w:rsidRDefault="00C30D45" w:rsidP="00FF60D9">
      <w:pPr>
        <w:pStyle w:val="ListParagraph"/>
        <w:spacing w:line="480" w:lineRule="auto"/>
        <w:rPr>
          <w:rFonts w:ascii="Arial" w:hAnsi="Arial" w:cs="Arial"/>
        </w:rPr>
      </w:pPr>
    </w:p>
    <w:p w14:paraId="39689083" w14:textId="4E522120" w:rsidR="003D3CD6" w:rsidRPr="00FF60D9" w:rsidRDefault="009037C4" w:rsidP="00FF60D9">
      <w:pPr>
        <w:pStyle w:val="ListParagraph"/>
        <w:spacing w:line="480" w:lineRule="auto"/>
        <w:rPr>
          <w:rFonts w:ascii="Arial" w:hAnsi="Arial" w:cs="Arial"/>
        </w:rPr>
      </w:pPr>
      <w:r w:rsidRPr="00FF60D9">
        <w:rPr>
          <w:rFonts w:ascii="Arial" w:hAnsi="Arial" w:cs="Arial"/>
        </w:rPr>
        <w:t xml:space="preserve">The last type of IPV according to </w:t>
      </w:r>
      <w:r w:rsidR="008630A7" w:rsidRPr="00FF60D9">
        <w:rPr>
          <w:rFonts w:ascii="Arial" w:hAnsi="Arial" w:cs="Arial"/>
        </w:rPr>
        <w:t xml:space="preserve">Kelly and </w:t>
      </w:r>
      <w:r w:rsidRPr="00FF60D9">
        <w:rPr>
          <w:rFonts w:ascii="Arial" w:hAnsi="Arial" w:cs="Arial"/>
        </w:rPr>
        <w:t>Johnson is violent resistance</w:t>
      </w:r>
      <w:r w:rsidR="008630A7" w:rsidRPr="00FF60D9">
        <w:rPr>
          <w:rFonts w:ascii="Arial" w:hAnsi="Arial" w:cs="Arial"/>
        </w:rPr>
        <w:t xml:space="preserve"> – otherwise known as</w:t>
      </w:r>
      <w:r w:rsidRPr="00FF60D9">
        <w:rPr>
          <w:rFonts w:ascii="Arial" w:hAnsi="Arial" w:cs="Arial"/>
        </w:rPr>
        <w:t xml:space="preserve"> </w:t>
      </w:r>
      <w:r w:rsidR="008630A7" w:rsidRPr="00FF60D9">
        <w:rPr>
          <w:rFonts w:ascii="Arial" w:hAnsi="Arial" w:cs="Arial"/>
        </w:rPr>
        <w:t>violence that</w:t>
      </w:r>
      <w:r w:rsidRPr="00FF60D9">
        <w:rPr>
          <w:rFonts w:ascii="Arial" w:hAnsi="Arial" w:cs="Arial"/>
        </w:rPr>
        <w:t xml:space="preserve"> is used in response to violence or threatened violence.</w:t>
      </w:r>
      <w:r w:rsidR="00E748A2" w:rsidRPr="00FF60D9">
        <w:rPr>
          <w:rStyle w:val="FootnoteReference"/>
          <w:rFonts w:ascii="Arial" w:hAnsi="Arial" w:cs="Arial"/>
        </w:rPr>
        <w:footnoteReference w:id="24"/>
      </w:r>
      <w:r w:rsidRPr="00FF60D9">
        <w:rPr>
          <w:rFonts w:ascii="Arial" w:hAnsi="Arial" w:cs="Arial"/>
        </w:rPr>
        <w:t xml:space="preserve"> This type of IPV is </w:t>
      </w:r>
      <w:r w:rsidR="008630A7" w:rsidRPr="00FF60D9">
        <w:rPr>
          <w:rFonts w:ascii="Arial" w:hAnsi="Arial" w:cs="Arial"/>
        </w:rPr>
        <w:t>almost entirely</w:t>
      </w:r>
      <w:r w:rsidRPr="00FF60D9">
        <w:rPr>
          <w:rFonts w:ascii="Arial" w:hAnsi="Arial" w:cs="Arial"/>
        </w:rPr>
        <w:t xml:space="preserve"> physical </w:t>
      </w:r>
      <w:r w:rsidR="008630A7" w:rsidRPr="00FF60D9">
        <w:rPr>
          <w:rFonts w:ascii="Arial" w:hAnsi="Arial" w:cs="Arial"/>
        </w:rPr>
        <w:t>(</w:t>
      </w:r>
      <w:r w:rsidRPr="00FF60D9">
        <w:rPr>
          <w:rFonts w:ascii="Arial" w:hAnsi="Arial" w:cs="Arial"/>
        </w:rPr>
        <w:t>rather than psychological</w:t>
      </w:r>
      <w:r w:rsidR="008630A7" w:rsidRPr="00FF60D9">
        <w:rPr>
          <w:rFonts w:ascii="Arial" w:hAnsi="Arial" w:cs="Arial"/>
        </w:rPr>
        <w:t>)</w:t>
      </w:r>
      <w:r w:rsidRPr="00FF60D9">
        <w:rPr>
          <w:rFonts w:ascii="Arial" w:hAnsi="Arial" w:cs="Arial"/>
        </w:rPr>
        <w:t>, and rests on the need for the perpetrator to protect themselves or a loved one.</w:t>
      </w:r>
      <w:r w:rsidR="00E748A2" w:rsidRPr="00FF60D9">
        <w:rPr>
          <w:rStyle w:val="FootnoteReference"/>
          <w:rFonts w:ascii="Arial" w:hAnsi="Arial" w:cs="Arial"/>
        </w:rPr>
        <w:footnoteReference w:id="25"/>
      </w:r>
      <w:r w:rsidR="00E748A2" w:rsidRPr="00FF60D9">
        <w:rPr>
          <w:rFonts w:ascii="Arial" w:hAnsi="Arial" w:cs="Arial"/>
        </w:rPr>
        <w:t xml:space="preserve"> As expected,</w:t>
      </w:r>
      <w:r w:rsidR="008630A7" w:rsidRPr="00FF60D9">
        <w:rPr>
          <w:rFonts w:ascii="Arial" w:hAnsi="Arial" w:cs="Arial"/>
        </w:rPr>
        <w:t xml:space="preserve"> most violent resistance offenders are women, with the statistics being directly inverse of coercive controlling violence where most victims are women</w:t>
      </w:r>
      <w:r w:rsidR="00E748A2" w:rsidRPr="00FF60D9">
        <w:rPr>
          <w:rFonts w:ascii="Arial" w:hAnsi="Arial" w:cs="Arial"/>
        </w:rPr>
        <w:t>.</w:t>
      </w:r>
      <w:r w:rsidR="00E748A2" w:rsidRPr="00FF60D9">
        <w:rPr>
          <w:rStyle w:val="FootnoteReference"/>
          <w:rFonts w:ascii="Arial" w:hAnsi="Arial" w:cs="Arial"/>
        </w:rPr>
        <w:footnoteReference w:id="26"/>
      </w:r>
      <w:r w:rsidRPr="00FF60D9">
        <w:rPr>
          <w:rFonts w:ascii="Arial" w:hAnsi="Arial" w:cs="Arial"/>
        </w:rPr>
        <w:t xml:space="preserve"> </w:t>
      </w:r>
    </w:p>
    <w:p w14:paraId="4EAF5C62" w14:textId="77777777" w:rsidR="00C30D45" w:rsidRPr="00FF60D9" w:rsidRDefault="00C30D45" w:rsidP="00FF60D9">
      <w:pPr>
        <w:pStyle w:val="ListParagraph"/>
        <w:spacing w:line="480" w:lineRule="auto"/>
        <w:rPr>
          <w:rFonts w:ascii="Arial" w:hAnsi="Arial" w:cs="Arial"/>
        </w:rPr>
      </w:pPr>
    </w:p>
    <w:p w14:paraId="43861848" w14:textId="13234C4C" w:rsidR="00626301" w:rsidRPr="00FF60D9" w:rsidRDefault="009037C4" w:rsidP="00FF60D9">
      <w:pPr>
        <w:pStyle w:val="ListParagraph"/>
        <w:spacing w:line="480" w:lineRule="auto"/>
        <w:rPr>
          <w:rFonts w:ascii="Arial" w:hAnsi="Arial" w:cs="Arial"/>
        </w:rPr>
      </w:pPr>
      <w:r w:rsidRPr="00FF60D9">
        <w:rPr>
          <w:rFonts w:ascii="Arial" w:hAnsi="Arial" w:cs="Arial"/>
        </w:rPr>
        <w:t>Moving beyond the typologies of violence, there are many tactics and methods of violence that, in combination, make up a violent relationship.</w:t>
      </w:r>
      <w:r w:rsidR="006D38A4" w:rsidRPr="00FF60D9">
        <w:rPr>
          <w:rFonts w:ascii="Arial" w:hAnsi="Arial" w:cs="Arial"/>
        </w:rPr>
        <w:t xml:space="preserve"> These</w:t>
      </w:r>
      <w:r w:rsidRPr="00FF60D9">
        <w:rPr>
          <w:rFonts w:ascii="Arial" w:hAnsi="Arial" w:cs="Arial"/>
        </w:rPr>
        <w:t xml:space="preserve"> methods are many, but are grouped most commonly into six categories including</w:t>
      </w:r>
      <w:r w:rsidR="006D38A4" w:rsidRPr="00FF60D9">
        <w:rPr>
          <w:rFonts w:ascii="Arial" w:hAnsi="Arial" w:cs="Arial"/>
        </w:rPr>
        <w:t xml:space="preserve"> rape, non-rape sexual violence, physical violence, severe physical violence, stalking, and </w:t>
      </w:r>
      <w:r w:rsidR="006D38A4" w:rsidRPr="00FF60D9">
        <w:rPr>
          <w:rFonts w:ascii="Arial" w:hAnsi="Arial" w:cs="Arial"/>
        </w:rPr>
        <w:lastRenderedPageBreak/>
        <w:t>psychological aggression.</w:t>
      </w:r>
      <w:r w:rsidR="00E748A2" w:rsidRPr="00FF60D9">
        <w:rPr>
          <w:rStyle w:val="FootnoteReference"/>
          <w:rFonts w:ascii="Arial" w:hAnsi="Arial" w:cs="Arial"/>
        </w:rPr>
        <w:footnoteReference w:id="27"/>
      </w:r>
      <w:r w:rsidR="006D38A4" w:rsidRPr="00FF60D9">
        <w:rPr>
          <w:rFonts w:ascii="Arial" w:hAnsi="Arial" w:cs="Arial"/>
        </w:rPr>
        <w:t xml:space="preserve"> </w:t>
      </w:r>
      <w:r w:rsidR="00826798">
        <w:rPr>
          <w:rFonts w:ascii="Arial" w:hAnsi="Arial" w:cs="Arial"/>
        </w:rPr>
        <w:t>Understanding the typology of violence is a necessary foundation upon which definitions and boundaries of an effective policy or law may be built</w:t>
      </w:r>
    </w:p>
    <w:p w14:paraId="659D913E" w14:textId="77777777" w:rsidR="00E748A2" w:rsidRPr="00FF60D9" w:rsidRDefault="00E748A2" w:rsidP="00FF60D9">
      <w:pPr>
        <w:pStyle w:val="ListParagraph"/>
        <w:spacing w:line="480" w:lineRule="auto"/>
        <w:rPr>
          <w:rFonts w:ascii="Arial" w:hAnsi="Arial" w:cs="Arial"/>
        </w:rPr>
      </w:pPr>
    </w:p>
    <w:p w14:paraId="67C12522" w14:textId="49C766BC" w:rsidR="00542F6F" w:rsidRPr="00FF60D9" w:rsidRDefault="00A053E6" w:rsidP="00FF60D9">
      <w:pPr>
        <w:pStyle w:val="ListParagraph"/>
        <w:numPr>
          <w:ilvl w:val="1"/>
          <w:numId w:val="9"/>
        </w:numPr>
        <w:spacing w:line="480" w:lineRule="auto"/>
        <w:rPr>
          <w:rFonts w:ascii="Arial" w:hAnsi="Arial" w:cs="Arial"/>
          <w:b/>
        </w:rPr>
      </w:pPr>
      <w:r w:rsidRPr="00FF60D9">
        <w:rPr>
          <w:rFonts w:ascii="Arial" w:hAnsi="Arial" w:cs="Arial"/>
          <w:b/>
        </w:rPr>
        <w:t>Definitions</w:t>
      </w:r>
    </w:p>
    <w:p w14:paraId="46972F1E" w14:textId="5E967ACB" w:rsidR="00C30D45" w:rsidRPr="00826798" w:rsidRDefault="00542F6F" w:rsidP="00826798">
      <w:pPr>
        <w:pStyle w:val="ListParagraph"/>
        <w:spacing w:line="480" w:lineRule="auto"/>
        <w:rPr>
          <w:rFonts w:ascii="Arial" w:hAnsi="Arial" w:cs="Arial"/>
        </w:rPr>
      </w:pPr>
      <w:r w:rsidRPr="00FF60D9">
        <w:rPr>
          <w:rFonts w:ascii="Arial" w:hAnsi="Arial" w:cs="Arial"/>
        </w:rPr>
        <w:t>De</w:t>
      </w:r>
      <w:r w:rsidR="004861EF" w:rsidRPr="00FF60D9">
        <w:rPr>
          <w:rFonts w:ascii="Arial" w:hAnsi="Arial" w:cs="Arial"/>
        </w:rPr>
        <w:t>finitions of IPV vary widely</w:t>
      </w:r>
      <w:r w:rsidR="009E3C55" w:rsidRPr="00FF60D9">
        <w:rPr>
          <w:rFonts w:ascii="Arial" w:hAnsi="Arial" w:cs="Arial"/>
        </w:rPr>
        <w:t xml:space="preserve"> and, to the average person, are used generally and interchangeably</w:t>
      </w:r>
      <w:r w:rsidR="004861EF" w:rsidRPr="00FF60D9">
        <w:rPr>
          <w:rFonts w:ascii="Arial" w:hAnsi="Arial" w:cs="Arial"/>
        </w:rPr>
        <w:t>. “D</w:t>
      </w:r>
      <w:r w:rsidRPr="00FF60D9">
        <w:rPr>
          <w:rFonts w:ascii="Arial" w:hAnsi="Arial" w:cs="Arial"/>
        </w:rPr>
        <w:t>omestic violence” is an easy</w:t>
      </w:r>
      <w:r w:rsidR="008630A7" w:rsidRPr="00FF60D9">
        <w:rPr>
          <w:rFonts w:ascii="Arial" w:hAnsi="Arial" w:cs="Arial"/>
        </w:rPr>
        <w:t>-</w:t>
      </w:r>
      <w:r w:rsidRPr="00FF60D9">
        <w:rPr>
          <w:rFonts w:ascii="Arial" w:hAnsi="Arial" w:cs="Arial"/>
        </w:rPr>
        <w:t>to</w:t>
      </w:r>
      <w:r w:rsidR="008630A7" w:rsidRPr="00FF60D9">
        <w:rPr>
          <w:rFonts w:ascii="Arial" w:hAnsi="Arial" w:cs="Arial"/>
        </w:rPr>
        <w:t>-</w:t>
      </w:r>
      <w:r w:rsidRPr="00FF60D9">
        <w:rPr>
          <w:rFonts w:ascii="Arial" w:hAnsi="Arial" w:cs="Arial"/>
        </w:rPr>
        <w:t xml:space="preserve">use term that is widely understood, </w:t>
      </w:r>
      <w:r w:rsidR="008630A7" w:rsidRPr="00FF60D9">
        <w:rPr>
          <w:rFonts w:ascii="Arial" w:hAnsi="Arial" w:cs="Arial"/>
        </w:rPr>
        <w:t xml:space="preserve">although it </w:t>
      </w:r>
      <w:r w:rsidRPr="00FF60D9">
        <w:rPr>
          <w:rFonts w:ascii="Arial" w:hAnsi="Arial" w:cs="Arial"/>
        </w:rPr>
        <w:t>does</w:t>
      </w:r>
      <w:r w:rsidR="008630A7" w:rsidRPr="00FF60D9">
        <w:rPr>
          <w:rFonts w:ascii="Arial" w:hAnsi="Arial" w:cs="Arial"/>
        </w:rPr>
        <w:t xml:space="preserve"> no</w:t>
      </w:r>
      <w:r w:rsidRPr="00FF60D9">
        <w:rPr>
          <w:rFonts w:ascii="Arial" w:hAnsi="Arial" w:cs="Arial"/>
        </w:rPr>
        <w:t>t necessarily capture the entire issue and i</w:t>
      </w:r>
      <w:r w:rsidR="00823BF0" w:rsidRPr="00FF60D9">
        <w:rPr>
          <w:rFonts w:ascii="Arial" w:hAnsi="Arial" w:cs="Arial"/>
        </w:rPr>
        <w:t>t may lead some</w:t>
      </w:r>
      <w:r w:rsidR="004861EF" w:rsidRPr="00FF60D9">
        <w:rPr>
          <w:rFonts w:ascii="Arial" w:hAnsi="Arial" w:cs="Arial"/>
        </w:rPr>
        <w:t xml:space="preserve"> individuals</w:t>
      </w:r>
      <w:r w:rsidR="00823BF0" w:rsidRPr="00FF60D9">
        <w:rPr>
          <w:rFonts w:ascii="Arial" w:hAnsi="Arial" w:cs="Arial"/>
        </w:rPr>
        <w:t xml:space="preserve"> to </w:t>
      </w:r>
      <w:r w:rsidR="004861EF" w:rsidRPr="00FF60D9">
        <w:rPr>
          <w:rFonts w:ascii="Arial" w:hAnsi="Arial" w:cs="Arial"/>
        </w:rPr>
        <w:t>infer</w:t>
      </w:r>
      <w:r w:rsidRPr="00FF60D9">
        <w:rPr>
          <w:rFonts w:ascii="Arial" w:hAnsi="Arial" w:cs="Arial"/>
        </w:rPr>
        <w:t xml:space="preserve"> that it is a “family issue.”</w:t>
      </w:r>
      <w:r w:rsidR="00826798">
        <w:rPr>
          <w:rFonts w:ascii="Arial" w:hAnsi="Arial" w:cs="Arial"/>
        </w:rPr>
        <w:t xml:space="preserve"> </w:t>
      </w:r>
      <w:r w:rsidR="009E3C55" w:rsidRPr="00826798">
        <w:rPr>
          <w:rFonts w:ascii="Arial" w:hAnsi="Arial" w:cs="Arial"/>
        </w:rPr>
        <w:t>A uniform definition has been proposed by the Center for Disease Control (CDC) and slight variations of this have been used in many keystone governmental reports and studies.</w:t>
      </w:r>
      <w:r w:rsidR="00E748A2" w:rsidRPr="00FF60D9">
        <w:rPr>
          <w:rStyle w:val="FootnoteReference"/>
          <w:rFonts w:ascii="Arial" w:hAnsi="Arial" w:cs="Arial"/>
        </w:rPr>
        <w:footnoteReference w:id="28"/>
      </w:r>
      <w:r w:rsidR="009E3C55" w:rsidRPr="00826798">
        <w:rPr>
          <w:rFonts w:ascii="Arial" w:hAnsi="Arial" w:cs="Arial"/>
        </w:rPr>
        <w:t xml:space="preserve"> According to the CDC’s recommended uniform definition, IPV includes “physical violence, sexual violence, stalking and psychological aggression (including coercive tactics) by a current or former </w:t>
      </w:r>
      <w:r w:rsidR="00E748A2" w:rsidRPr="00826798">
        <w:rPr>
          <w:rFonts w:ascii="Arial" w:hAnsi="Arial" w:cs="Arial"/>
        </w:rPr>
        <w:t>intimate partner . . . .”</w:t>
      </w:r>
      <w:r w:rsidR="00E748A2" w:rsidRPr="00FF60D9">
        <w:rPr>
          <w:rStyle w:val="FootnoteReference"/>
          <w:rFonts w:ascii="Arial" w:hAnsi="Arial" w:cs="Arial"/>
        </w:rPr>
        <w:footnoteReference w:id="29"/>
      </w:r>
      <w:r w:rsidR="009E3C55" w:rsidRPr="00826798">
        <w:rPr>
          <w:rFonts w:ascii="Arial" w:hAnsi="Arial" w:cs="Arial"/>
        </w:rPr>
        <w:t xml:space="preserve"> An intimate partner is an individual with whom is shared an emotional connection, regular contact, familiarity and knowledge about each other’s lives.</w:t>
      </w:r>
      <w:r w:rsidR="00E748A2" w:rsidRPr="00FF60D9">
        <w:rPr>
          <w:rStyle w:val="FootnoteReference"/>
          <w:rFonts w:ascii="Arial" w:hAnsi="Arial" w:cs="Arial"/>
        </w:rPr>
        <w:footnoteReference w:id="30"/>
      </w:r>
      <w:r w:rsidR="009E3C55" w:rsidRPr="00826798">
        <w:rPr>
          <w:rFonts w:ascii="Arial" w:hAnsi="Arial" w:cs="Arial"/>
        </w:rPr>
        <w:t xml:space="preserve"> An intimate partner may be a spouse, domestic partner, dating partners, or ongoing sexual partners, regardless </w:t>
      </w:r>
      <w:r w:rsidR="00E94A16" w:rsidRPr="00826798">
        <w:rPr>
          <w:rFonts w:ascii="Arial" w:hAnsi="Arial" w:cs="Arial"/>
        </w:rPr>
        <w:t xml:space="preserve">of whether </w:t>
      </w:r>
      <w:r w:rsidR="00165D18" w:rsidRPr="00826798">
        <w:rPr>
          <w:rFonts w:ascii="Arial" w:hAnsi="Arial" w:cs="Arial"/>
        </w:rPr>
        <w:t>t</w:t>
      </w:r>
      <w:r w:rsidR="009E3C55" w:rsidRPr="00826798">
        <w:rPr>
          <w:rFonts w:ascii="Arial" w:hAnsi="Arial" w:cs="Arial"/>
        </w:rPr>
        <w:t>he individuals cohabitate or are of different sexes.</w:t>
      </w:r>
      <w:r w:rsidR="00E748A2" w:rsidRPr="00FF60D9">
        <w:rPr>
          <w:rStyle w:val="FootnoteReference"/>
          <w:rFonts w:ascii="Arial" w:hAnsi="Arial" w:cs="Arial"/>
        </w:rPr>
        <w:footnoteReference w:id="31"/>
      </w:r>
      <w:r w:rsidR="00B03D85" w:rsidRPr="00826798">
        <w:rPr>
          <w:rFonts w:ascii="Arial" w:hAnsi="Arial" w:cs="Arial"/>
        </w:rPr>
        <w:t xml:space="preserve"> </w:t>
      </w:r>
    </w:p>
    <w:p w14:paraId="1A7B5409" w14:textId="77777777" w:rsidR="00174500" w:rsidRPr="00174500" w:rsidRDefault="00174500" w:rsidP="00174500">
      <w:pPr>
        <w:pStyle w:val="ListParagraph"/>
        <w:spacing w:line="480" w:lineRule="auto"/>
        <w:rPr>
          <w:rFonts w:ascii="Arial" w:hAnsi="Arial" w:cs="Arial"/>
          <w:i/>
          <w:iCs/>
        </w:rPr>
      </w:pPr>
    </w:p>
    <w:p w14:paraId="45AEA95A" w14:textId="4734C270" w:rsidR="00A34F38" w:rsidRPr="00FF60D9" w:rsidRDefault="0089561E" w:rsidP="00FF60D9">
      <w:pPr>
        <w:pStyle w:val="ListParagraph"/>
        <w:spacing w:line="480" w:lineRule="auto"/>
        <w:rPr>
          <w:rFonts w:ascii="Arial" w:hAnsi="Arial" w:cs="Arial"/>
        </w:rPr>
      </w:pPr>
      <w:r>
        <w:rPr>
          <w:rFonts w:ascii="Arial" w:hAnsi="Arial" w:cs="Arial"/>
        </w:rPr>
        <w:t xml:space="preserve">A </w:t>
      </w:r>
      <w:r w:rsidR="00165D18" w:rsidRPr="00FF60D9">
        <w:rPr>
          <w:rFonts w:ascii="Arial" w:hAnsi="Arial" w:cs="Arial"/>
        </w:rPr>
        <w:t>uniform</w:t>
      </w:r>
      <w:r w:rsidR="00CA19F3" w:rsidRPr="00FF60D9">
        <w:rPr>
          <w:rFonts w:ascii="Arial" w:hAnsi="Arial" w:cs="Arial"/>
        </w:rPr>
        <w:t xml:space="preserve"> definition and typology structure</w:t>
      </w:r>
      <w:r w:rsidR="00165D18" w:rsidRPr="00FF60D9">
        <w:rPr>
          <w:rFonts w:ascii="Arial" w:hAnsi="Arial" w:cs="Arial"/>
        </w:rPr>
        <w:t xml:space="preserve"> have not been adopted across the board or in a</w:t>
      </w:r>
      <w:r>
        <w:rPr>
          <w:rFonts w:ascii="Arial" w:hAnsi="Arial" w:cs="Arial"/>
        </w:rPr>
        <w:t>ny</w:t>
      </w:r>
      <w:r w:rsidR="00165D18" w:rsidRPr="00FF60D9">
        <w:rPr>
          <w:rFonts w:ascii="Arial" w:hAnsi="Arial" w:cs="Arial"/>
        </w:rPr>
        <w:t xml:space="preserve"> consistent manner. </w:t>
      </w:r>
      <w:r w:rsidR="00CA19F3" w:rsidRPr="00FF60D9">
        <w:rPr>
          <w:rFonts w:ascii="Arial" w:hAnsi="Arial" w:cs="Arial"/>
        </w:rPr>
        <w:t xml:space="preserve"> </w:t>
      </w:r>
      <w:r w:rsidR="00165D18" w:rsidRPr="00FF60D9">
        <w:rPr>
          <w:rFonts w:ascii="Arial" w:hAnsi="Arial" w:cs="Arial"/>
        </w:rPr>
        <w:t xml:space="preserve">Because of inconsistencies in definitions and typology, </w:t>
      </w:r>
      <w:r w:rsidR="00CA19F3" w:rsidRPr="00FF60D9">
        <w:rPr>
          <w:rFonts w:ascii="Arial" w:hAnsi="Arial" w:cs="Arial"/>
        </w:rPr>
        <w:t xml:space="preserve">many studies, reports, surveys and academic work on the subject </w:t>
      </w:r>
      <w:r w:rsidR="00165D18" w:rsidRPr="00FF60D9">
        <w:rPr>
          <w:rFonts w:ascii="Arial" w:hAnsi="Arial" w:cs="Arial"/>
        </w:rPr>
        <w:t>provide little more than a</w:t>
      </w:r>
      <w:r w:rsidR="00CA19F3" w:rsidRPr="00FF60D9">
        <w:rPr>
          <w:rFonts w:ascii="Arial" w:hAnsi="Arial" w:cs="Arial"/>
        </w:rPr>
        <w:t xml:space="preserve"> piecemeal look at violence as it relates to a variety of relationships, in varying degrees, and with a litany of tactics and methods.</w:t>
      </w:r>
      <w:r w:rsidR="00E748A2" w:rsidRPr="00FF60D9">
        <w:rPr>
          <w:rStyle w:val="FootnoteReference"/>
          <w:rFonts w:ascii="Arial" w:hAnsi="Arial" w:cs="Arial"/>
        </w:rPr>
        <w:footnoteReference w:id="32"/>
      </w:r>
      <w:r w:rsidR="00CA19F3" w:rsidRPr="00FF60D9">
        <w:rPr>
          <w:rFonts w:ascii="Arial" w:hAnsi="Arial" w:cs="Arial"/>
        </w:rPr>
        <w:t xml:space="preserve"> This inconsistency leads to difficulty in assessing the severity of the problem </w:t>
      </w:r>
      <w:r w:rsidR="00165D18" w:rsidRPr="00FF60D9">
        <w:rPr>
          <w:rFonts w:ascii="Arial" w:hAnsi="Arial" w:cs="Arial"/>
        </w:rPr>
        <w:t>and any characteristics that could aid in preventative or reactive measures taken by the government or organizations.</w:t>
      </w:r>
    </w:p>
    <w:p w14:paraId="3F5DF384" w14:textId="77777777" w:rsidR="001B78A0" w:rsidRPr="00FF60D9" w:rsidRDefault="001B78A0" w:rsidP="00FF60D9">
      <w:pPr>
        <w:pStyle w:val="ListParagraph"/>
        <w:spacing w:line="480" w:lineRule="auto"/>
        <w:rPr>
          <w:rFonts w:ascii="Arial" w:hAnsi="Arial" w:cs="Arial"/>
        </w:rPr>
      </w:pPr>
    </w:p>
    <w:p w14:paraId="4D245B76" w14:textId="18C4B63F" w:rsidR="00A053E6" w:rsidRPr="00FF60D9" w:rsidRDefault="00A053E6" w:rsidP="00FF60D9">
      <w:pPr>
        <w:pStyle w:val="ListParagraph"/>
        <w:numPr>
          <w:ilvl w:val="1"/>
          <w:numId w:val="9"/>
        </w:numPr>
        <w:spacing w:line="480" w:lineRule="auto"/>
        <w:rPr>
          <w:rFonts w:ascii="Arial" w:hAnsi="Arial" w:cs="Arial"/>
          <w:b/>
        </w:rPr>
      </w:pPr>
      <w:r w:rsidRPr="00FF60D9">
        <w:rPr>
          <w:rFonts w:ascii="Arial" w:hAnsi="Arial" w:cs="Arial"/>
          <w:b/>
        </w:rPr>
        <w:t xml:space="preserve">Rates in the </w:t>
      </w:r>
      <w:r w:rsidR="00D11971" w:rsidRPr="00FF60D9">
        <w:rPr>
          <w:rFonts w:ascii="Arial" w:hAnsi="Arial" w:cs="Arial"/>
          <w:b/>
        </w:rPr>
        <w:t>General</w:t>
      </w:r>
      <w:r w:rsidRPr="00FF60D9">
        <w:rPr>
          <w:rFonts w:ascii="Arial" w:hAnsi="Arial" w:cs="Arial"/>
          <w:b/>
        </w:rPr>
        <w:t xml:space="preserve"> Population</w:t>
      </w:r>
    </w:p>
    <w:p w14:paraId="6822A891" w14:textId="524E0515" w:rsidR="00541427" w:rsidRPr="00FF60D9" w:rsidRDefault="00D82E05" w:rsidP="00FF60D9">
      <w:pPr>
        <w:spacing w:line="480" w:lineRule="auto"/>
        <w:ind w:left="720"/>
        <w:rPr>
          <w:rFonts w:ascii="Arial" w:hAnsi="Arial" w:cs="Arial"/>
          <w:color w:val="000000" w:themeColor="text1"/>
        </w:rPr>
      </w:pPr>
      <w:r w:rsidRPr="00FF60D9">
        <w:rPr>
          <w:rFonts w:ascii="Arial" w:hAnsi="Arial" w:cs="Arial"/>
          <w:color w:val="000000" w:themeColor="text1"/>
        </w:rPr>
        <w:t xml:space="preserve">Hollywood </w:t>
      </w:r>
      <w:r w:rsidR="00AB6034" w:rsidRPr="00FF60D9">
        <w:rPr>
          <w:rFonts w:ascii="Arial" w:hAnsi="Arial" w:cs="Arial"/>
          <w:color w:val="000000" w:themeColor="text1"/>
        </w:rPr>
        <w:t xml:space="preserve">and social media have played a big role in raising awareness about various forms of violence against women. </w:t>
      </w:r>
      <w:r w:rsidR="0016282A" w:rsidRPr="00FF60D9">
        <w:rPr>
          <w:rFonts w:ascii="Arial" w:hAnsi="Arial" w:cs="Arial"/>
          <w:color w:val="000000" w:themeColor="text1"/>
        </w:rPr>
        <w:t>The</w:t>
      </w:r>
      <w:r w:rsidR="00AB6034" w:rsidRPr="00FF60D9">
        <w:rPr>
          <w:rFonts w:ascii="Arial" w:hAnsi="Arial" w:cs="Arial"/>
          <w:color w:val="000000" w:themeColor="text1"/>
        </w:rPr>
        <w:t xml:space="preserve"> civilian population </w:t>
      </w:r>
      <w:r w:rsidR="0016282A" w:rsidRPr="00FF60D9">
        <w:rPr>
          <w:rFonts w:ascii="Arial" w:hAnsi="Arial" w:cs="Arial"/>
          <w:color w:val="000000" w:themeColor="text1"/>
        </w:rPr>
        <w:t>has</w:t>
      </w:r>
      <w:r w:rsidR="00AB6034" w:rsidRPr="00FF60D9">
        <w:rPr>
          <w:rFonts w:ascii="Arial" w:hAnsi="Arial" w:cs="Arial"/>
          <w:color w:val="000000" w:themeColor="text1"/>
        </w:rPr>
        <w:t xml:space="preserve"> Domestic Violence Awareness Month (DVAM) in October</w:t>
      </w:r>
      <w:r w:rsidR="00AB6034" w:rsidRPr="00FF60D9">
        <w:rPr>
          <w:rStyle w:val="FootnoteReference"/>
          <w:rFonts w:ascii="Arial" w:hAnsi="Arial" w:cs="Arial"/>
          <w:color w:val="000000" w:themeColor="text1"/>
        </w:rPr>
        <w:footnoteReference w:id="33"/>
      </w:r>
      <w:r w:rsidR="00AB6034" w:rsidRPr="00FF60D9">
        <w:rPr>
          <w:rFonts w:ascii="Arial" w:hAnsi="Arial" w:cs="Arial"/>
          <w:color w:val="000000" w:themeColor="text1"/>
        </w:rPr>
        <w:t xml:space="preserve">, signified by a purple ribbon and multiple national awareness campaigns, and Sexual Assault Awareness </w:t>
      </w:r>
      <w:r w:rsidR="00AB6034" w:rsidRPr="00FF60D9">
        <w:rPr>
          <w:rFonts w:ascii="Arial" w:hAnsi="Arial" w:cs="Arial"/>
          <w:color w:val="000000" w:themeColor="text1"/>
        </w:rPr>
        <w:lastRenderedPageBreak/>
        <w:t>Month (SAAM) in April</w:t>
      </w:r>
      <w:r w:rsidR="0023294C">
        <w:rPr>
          <w:rFonts w:ascii="Arial" w:hAnsi="Arial" w:cs="Arial"/>
          <w:color w:val="000000" w:themeColor="text1"/>
        </w:rPr>
        <w:t>,</w:t>
      </w:r>
      <w:r w:rsidR="00AB6034" w:rsidRPr="00FF60D9">
        <w:rPr>
          <w:rStyle w:val="FootnoteReference"/>
          <w:rFonts w:ascii="Arial" w:hAnsi="Arial" w:cs="Arial"/>
          <w:color w:val="000000" w:themeColor="text1"/>
        </w:rPr>
        <w:footnoteReference w:id="34"/>
      </w:r>
      <w:r w:rsidR="00AB6034" w:rsidRPr="00FF60D9">
        <w:rPr>
          <w:rFonts w:ascii="Arial" w:hAnsi="Arial" w:cs="Arial"/>
          <w:color w:val="000000" w:themeColor="text1"/>
        </w:rPr>
        <w:t xml:space="preserve"> signified by a teal ribbon and similar national campaigns. There have been prominent TV shows</w:t>
      </w:r>
      <w:r w:rsidR="0023294C">
        <w:rPr>
          <w:rFonts w:ascii="Arial" w:hAnsi="Arial" w:cs="Arial"/>
          <w:color w:val="000000" w:themeColor="text1"/>
        </w:rPr>
        <w:t>,</w:t>
      </w:r>
      <w:r w:rsidR="00AB6034" w:rsidRPr="00FF60D9">
        <w:rPr>
          <w:rStyle w:val="FootnoteReference"/>
          <w:rFonts w:ascii="Arial" w:hAnsi="Arial" w:cs="Arial"/>
          <w:color w:val="000000" w:themeColor="text1"/>
        </w:rPr>
        <w:footnoteReference w:id="35"/>
      </w:r>
      <w:r w:rsidR="00AB6034" w:rsidRPr="00FF60D9">
        <w:rPr>
          <w:rFonts w:ascii="Arial" w:hAnsi="Arial" w:cs="Arial"/>
          <w:color w:val="000000" w:themeColor="text1"/>
        </w:rPr>
        <w:t xml:space="preserve"> speeches at major award shows</w:t>
      </w:r>
      <w:r w:rsidR="0023294C">
        <w:rPr>
          <w:rFonts w:ascii="Arial" w:hAnsi="Arial" w:cs="Arial"/>
          <w:color w:val="000000" w:themeColor="text1"/>
        </w:rPr>
        <w:t>,</w:t>
      </w:r>
      <w:r w:rsidR="00AB6034" w:rsidRPr="00FF60D9">
        <w:rPr>
          <w:rStyle w:val="FootnoteReference"/>
          <w:rFonts w:ascii="Arial" w:hAnsi="Arial" w:cs="Arial"/>
          <w:color w:val="000000" w:themeColor="text1"/>
        </w:rPr>
        <w:footnoteReference w:id="36"/>
      </w:r>
      <w:r w:rsidR="00AB6034" w:rsidRPr="00FF60D9">
        <w:rPr>
          <w:rFonts w:ascii="Arial" w:hAnsi="Arial" w:cs="Arial"/>
          <w:color w:val="000000" w:themeColor="text1"/>
        </w:rPr>
        <w:t xml:space="preserve"> podcasts</w:t>
      </w:r>
      <w:r w:rsidR="0023294C">
        <w:rPr>
          <w:rFonts w:ascii="Arial" w:hAnsi="Arial" w:cs="Arial"/>
          <w:color w:val="000000" w:themeColor="text1"/>
        </w:rPr>
        <w:t>,</w:t>
      </w:r>
      <w:r w:rsidR="00AB6034" w:rsidRPr="00FF60D9">
        <w:rPr>
          <w:rStyle w:val="FootnoteReference"/>
          <w:rFonts w:ascii="Arial" w:hAnsi="Arial" w:cs="Arial"/>
          <w:color w:val="000000" w:themeColor="text1"/>
        </w:rPr>
        <w:footnoteReference w:id="37"/>
      </w:r>
      <w:r w:rsidR="00AB6034" w:rsidRPr="00FF60D9">
        <w:rPr>
          <w:rFonts w:ascii="Arial" w:hAnsi="Arial" w:cs="Arial"/>
          <w:color w:val="000000" w:themeColor="text1"/>
        </w:rPr>
        <w:t xml:space="preserve"> and other news events</w:t>
      </w:r>
      <w:r w:rsidR="00AB6034" w:rsidRPr="00FF60D9">
        <w:rPr>
          <w:rStyle w:val="FootnoteReference"/>
          <w:rFonts w:ascii="Arial" w:hAnsi="Arial" w:cs="Arial"/>
          <w:color w:val="000000" w:themeColor="text1"/>
        </w:rPr>
        <w:footnoteReference w:id="38"/>
      </w:r>
      <w:r w:rsidR="00AB6034" w:rsidRPr="00FF60D9">
        <w:rPr>
          <w:rFonts w:ascii="Arial" w:hAnsi="Arial" w:cs="Arial"/>
          <w:color w:val="000000" w:themeColor="text1"/>
        </w:rPr>
        <w:t xml:space="preserve"> that highlight the prevalence and classlessness</w:t>
      </w:r>
      <w:r w:rsidR="00AB6034" w:rsidRPr="00FF60D9">
        <w:rPr>
          <w:rStyle w:val="FootnoteReference"/>
          <w:rFonts w:ascii="Arial" w:hAnsi="Arial" w:cs="Arial"/>
          <w:color w:val="000000" w:themeColor="text1"/>
        </w:rPr>
        <w:footnoteReference w:id="39"/>
      </w:r>
      <w:r w:rsidR="00AB6034" w:rsidRPr="00FF60D9">
        <w:rPr>
          <w:rFonts w:ascii="Arial" w:hAnsi="Arial" w:cs="Arial"/>
          <w:color w:val="000000" w:themeColor="text1"/>
        </w:rPr>
        <w:t xml:space="preserve"> of these sorts of violence, provoking movements that demand better resources for survivors and better law enforcement efforts to hold offenders accountable.</w:t>
      </w:r>
      <w:r w:rsidR="00AB6034" w:rsidRPr="00FF60D9">
        <w:rPr>
          <w:rStyle w:val="FootnoteReference"/>
          <w:rFonts w:ascii="Arial" w:hAnsi="Arial" w:cs="Arial"/>
          <w:color w:val="000000" w:themeColor="text1"/>
        </w:rPr>
        <w:footnoteReference w:id="40"/>
      </w:r>
      <w:r w:rsidR="00AB6034" w:rsidRPr="00FF60D9">
        <w:rPr>
          <w:rFonts w:ascii="Arial" w:hAnsi="Arial" w:cs="Arial"/>
          <w:color w:val="000000" w:themeColor="text1"/>
        </w:rPr>
        <w:t xml:space="preserve"> </w:t>
      </w:r>
      <w:r w:rsidR="0016282A" w:rsidRPr="00FF60D9">
        <w:rPr>
          <w:rFonts w:ascii="Arial" w:hAnsi="Arial" w:cs="Arial"/>
          <w:color w:val="000000" w:themeColor="text1"/>
        </w:rPr>
        <w:t>When law makers,</w:t>
      </w:r>
      <w:r w:rsidR="00AB6034" w:rsidRPr="00FF60D9">
        <w:rPr>
          <w:rFonts w:ascii="Arial" w:hAnsi="Arial" w:cs="Arial"/>
          <w:color w:val="000000" w:themeColor="text1"/>
        </w:rPr>
        <w:t xml:space="preserve"> law enforcement </w:t>
      </w:r>
      <w:r w:rsidR="008B18FA" w:rsidRPr="00FF60D9">
        <w:rPr>
          <w:rFonts w:ascii="Arial" w:hAnsi="Arial" w:cs="Arial"/>
          <w:color w:val="000000" w:themeColor="text1"/>
        </w:rPr>
        <w:t>and the justice system fail,</w:t>
      </w:r>
      <w:r w:rsidR="00AB6034" w:rsidRPr="00FF60D9">
        <w:rPr>
          <w:rFonts w:ascii="Arial" w:hAnsi="Arial" w:cs="Arial"/>
          <w:color w:val="000000" w:themeColor="text1"/>
        </w:rPr>
        <w:t xml:space="preserve"> society steps in.</w:t>
      </w:r>
      <w:r w:rsidR="00AB6034" w:rsidRPr="00FF60D9">
        <w:rPr>
          <w:rStyle w:val="FootnoteReference"/>
          <w:rFonts w:ascii="Arial" w:hAnsi="Arial" w:cs="Arial"/>
          <w:color w:val="000000" w:themeColor="text1"/>
        </w:rPr>
        <w:footnoteReference w:id="41"/>
      </w:r>
    </w:p>
    <w:p w14:paraId="30F764FF" w14:textId="77777777" w:rsidR="00C30D45" w:rsidRPr="00FF60D9" w:rsidRDefault="00C30D45" w:rsidP="00FF60D9">
      <w:pPr>
        <w:spacing w:line="480" w:lineRule="auto"/>
        <w:ind w:left="720"/>
        <w:rPr>
          <w:rFonts w:ascii="Arial" w:hAnsi="Arial" w:cs="Arial"/>
        </w:rPr>
      </w:pPr>
    </w:p>
    <w:p w14:paraId="139045EC" w14:textId="77777777" w:rsidR="00D11971" w:rsidRPr="00FF60D9" w:rsidRDefault="0016282A" w:rsidP="00FF60D9">
      <w:pPr>
        <w:spacing w:line="480" w:lineRule="auto"/>
        <w:ind w:left="720"/>
        <w:rPr>
          <w:rFonts w:ascii="Arial" w:hAnsi="Arial" w:cs="Arial"/>
        </w:rPr>
      </w:pPr>
      <w:r w:rsidRPr="00FF60D9">
        <w:rPr>
          <w:rFonts w:ascii="Arial" w:hAnsi="Arial" w:cs="Arial"/>
        </w:rPr>
        <w:t>Even though there are major social movements happening with regards to both IPV and SA, the</w:t>
      </w:r>
      <w:r w:rsidR="00033E9C" w:rsidRPr="00FF60D9">
        <w:rPr>
          <w:rFonts w:ascii="Arial" w:hAnsi="Arial" w:cs="Arial"/>
        </w:rPr>
        <w:t xml:space="preserve"> rates of prevalence remain very high. </w:t>
      </w:r>
      <w:r w:rsidR="00D11971" w:rsidRPr="00FF60D9">
        <w:rPr>
          <w:rFonts w:ascii="Arial" w:hAnsi="Arial" w:cs="Arial"/>
        </w:rPr>
        <w:t>The CDC’s National Intimate Partner and Sexual Violence Survey (NISVS) using data from 2010-2012 is a comprehensive survey used in this article because of its coverage of women’s violence in general, because it surveys men, and because it produced a separate report comparing rates in the civilian population to those in the active duty military population using the same metrics and definitions.</w:t>
      </w:r>
    </w:p>
    <w:p w14:paraId="7B16E2F4" w14:textId="77777777" w:rsidR="00D11971" w:rsidRPr="00FF60D9" w:rsidRDefault="00D11971" w:rsidP="00FF60D9">
      <w:pPr>
        <w:spacing w:line="480" w:lineRule="auto"/>
        <w:ind w:left="720"/>
        <w:rPr>
          <w:rFonts w:ascii="Arial" w:hAnsi="Arial" w:cs="Arial"/>
        </w:rPr>
      </w:pPr>
    </w:p>
    <w:p w14:paraId="44F18A38" w14:textId="6FA682BF" w:rsidR="00A165C7" w:rsidRPr="00FF60D9" w:rsidRDefault="00541427" w:rsidP="00FF60D9">
      <w:pPr>
        <w:spacing w:line="480" w:lineRule="auto"/>
        <w:ind w:left="720"/>
        <w:rPr>
          <w:rFonts w:ascii="Arial" w:hAnsi="Arial" w:cs="Arial"/>
        </w:rPr>
      </w:pPr>
      <w:r w:rsidRPr="00FF60D9">
        <w:rPr>
          <w:rFonts w:ascii="Arial" w:hAnsi="Arial" w:cs="Arial"/>
        </w:rPr>
        <w:t>A</w:t>
      </w:r>
      <w:r w:rsidR="00E40323" w:rsidRPr="00FF60D9">
        <w:rPr>
          <w:rFonts w:ascii="Arial" w:hAnsi="Arial" w:cs="Arial"/>
        </w:rPr>
        <w:t>s to sexual assaul</w:t>
      </w:r>
      <w:r w:rsidR="00D11971" w:rsidRPr="00FF60D9">
        <w:rPr>
          <w:rFonts w:ascii="Arial" w:hAnsi="Arial" w:cs="Arial"/>
        </w:rPr>
        <w:t>t in the general population</w:t>
      </w:r>
      <w:r w:rsidR="00E40323" w:rsidRPr="00FF60D9">
        <w:rPr>
          <w:rFonts w:ascii="Arial" w:hAnsi="Arial" w:cs="Arial"/>
        </w:rPr>
        <w:t xml:space="preserve">, </w:t>
      </w:r>
      <w:r w:rsidR="004F02AB" w:rsidRPr="00FF60D9">
        <w:rPr>
          <w:rFonts w:ascii="Arial" w:hAnsi="Arial" w:cs="Arial"/>
        </w:rPr>
        <w:t>36.6% of women have been victims of contact sexual violence in their lifetime</w:t>
      </w:r>
      <w:r w:rsidR="00033E9C" w:rsidRPr="00FF60D9">
        <w:rPr>
          <w:rFonts w:ascii="Arial" w:hAnsi="Arial" w:cs="Arial"/>
        </w:rPr>
        <w:t>; contact sexual violence</w:t>
      </w:r>
      <w:r w:rsidR="004F02AB" w:rsidRPr="00FF60D9">
        <w:rPr>
          <w:rFonts w:ascii="Arial" w:hAnsi="Arial" w:cs="Arial"/>
        </w:rPr>
        <w:t xml:space="preserve"> ranges from unwanted sexual contact </w:t>
      </w:r>
      <w:r w:rsidR="00AB6034" w:rsidRPr="00FF60D9">
        <w:rPr>
          <w:rFonts w:ascii="Arial" w:hAnsi="Arial" w:cs="Arial"/>
        </w:rPr>
        <w:t>to</w:t>
      </w:r>
      <w:r w:rsidR="00A165C7" w:rsidRPr="00FF60D9">
        <w:rPr>
          <w:rFonts w:ascii="Arial" w:hAnsi="Arial" w:cs="Arial"/>
        </w:rPr>
        <w:t xml:space="preserve"> coercion </w:t>
      </w:r>
      <w:r w:rsidR="004F02AB" w:rsidRPr="00FF60D9">
        <w:rPr>
          <w:rFonts w:ascii="Arial" w:hAnsi="Arial" w:cs="Arial"/>
        </w:rPr>
        <w:t>to rape</w:t>
      </w:r>
      <w:r w:rsidR="00842290" w:rsidRPr="00FF60D9">
        <w:rPr>
          <w:rFonts w:ascii="Arial" w:hAnsi="Arial" w:cs="Arial"/>
        </w:rPr>
        <w:t>.</w:t>
      </w:r>
      <w:r w:rsidR="00E748A2" w:rsidRPr="00FF60D9">
        <w:rPr>
          <w:rStyle w:val="FootnoteReference"/>
          <w:rFonts w:ascii="Arial" w:hAnsi="Arial" w:cs="Arial"/>
        </w:rPr>
        <w:footnoteReference w:id="42"/>
      </w:r>
      <w:r w:rsidR="004F02AB" w:rsidRPr="00FF60D9">
        <w:rPr>
          <w:rFonts w:ascii="Arial" w:hAnsi="Arial" w:cs="Arial"/>
        </w:rPr>
        <w:t xml:space="preserve"> </w:t>
      </w:r>
      <w:r w:rsidR="00E40323" w:rsidRPr="00FF60D9">
        <w:rPr>
          <w:rFonts w:ascii="Arial" w:hAnsi="Arial" w:cs="Arial"/>
        </w:rPr>
        <w:t xml:space="preserve">More specifically, </w:t>
      </w:r>
      <w:r w:rsidR="00A165C7" w:rsidRPr="00FF60D9">
        <w:rPr>
          <w:rFonts w:ascii="Arial" w:hAnsi="Arial" w:cs="Arial"/>
        </w:rPr>
        <w:t>19.3% of women have experienced completed or at</w:t>
      </w:r>
      <w:r w:rsidR="00413D3B" w:rsidRPr="00FF60D9">
        <w:rPr>
          <w:rFonts w:ascii="Arial" w:hAnsi="Arial" w:cs="Arial"/>
        </w:rPr>
        <w:t>tempted rape in their lifetime.</w:t>
      </w:r>
      <w:r w:rsidR="00413D3B" w:rsidRPr="00FF60D9">
        <w:rPr>
          <w:rStyle w:val="FootnoteReference"/>
          <w:rFonts w:ascii="Arial" w:hAnsi="Arial" w:cs="Arial"/>
        </w:rPr>
        <w:footnoteReference w:id="43"/>
      </w:r>
    </w:p>
    <w:p w14:paraId="1DEA4EF9" w14:textId="77777777" w:rsidR="00C30D45" w:rsidRPr="00FF60D9" w:rsidRDefault="00C30D45" w:rsidP="00FF60D9">
      <w:pPr>
        <w:spacing w:line="480" w:lineRule="auto"/>
        <w:ind w:left="720"/>
        <w:rPr>
          <w:rFonts w:ascii="Arial" w:hAnsi="Arial" w:cs="Arial"/>
        </w:rPr>
      </w:pPr>
    </w:p>
    <w:p w14:paraId="3F60D1B1" w14:textId="6CFFDC9F" w:rsidR="00413D3B" w:rsidRPr="00FF60D9" w:rsidRDefault="00541427" w:rsidP="00FF60D9">
      <w:pPr>
        <w:spacing w:line="480" w:lineRule="auto"/>
        <w:ind w:left="720"/>
        <w:rPr>
          <w:rFonts w:ascii="Arial" w:hAnsi="Arial" w:cs="Arial"/>
        </w:rPr>
      </w:pPr>
      <w:r w:rsidRPr="00FF60D9">
        <w:rPr>
          <w:rFonts w:ascii="Arial" w:hAnsi="Arial" w:cs="Arial"/>
        </w:rPr>
        <w:t>A</w:t>
      </w:r>
      <w:r w:rsidR="00E40323" w:rsidRPr="00FF60D9">
        <w:rPr>
          <w:rFonts w:ascii="Arial" w:hAnsi="Arial" w:cs="Arial"/>
        </w:rPr>
        <w:t>s to IPV</w:t>
      </w:r>
      <w:r w:rsidR="00D11971" w:rsidRPr="00FF60D9">
        <w:rPr>
          <w:rFonts w:ascii="Arial" w:hAnsi="Arial" w:cs="Arial"/>
        </w:rPr>
        <w:t xml:space="preserve"> in the general population</w:t>
      </w:r>
      <w:r w:rsidR="00E40323" w:rsidRPr="00FF60D9">
        <w:rPr>
          <w:rFonts w:ascii="Arial" w:hAnsi="Arial" w:cs="Arial"/>
        </w:rPr>
        <w:t xml:space="preserve">, </w:t>
      </w:r>
      <w:r w:rsidR="00842290" w:rsidRPr="00FF60D9">
        <w:rPr>
          <w:rFonts w:ascii="Arial" w:hAnsi="Arial" w:cs="Arial"/>
        </w:rPr>
        <w:t xml:space="preserve">37.2% of women have experienced </w:t>
      </w:r>
      <w:r w:rsidR="00033E9C" w:rsidRPr="00FF60D9">
        <w:rPr>
          <w:rFonts w:ascii="Arial" w:hAnsi="Arial" w:cs="Arial"/>
        </w:rPr>
        <w:t xml:space="preserve">at least </w:t>
      </w:r>
      <w:r w:rsidRPr="00FF60D9">
        <w:rPr>
          <w:rFonts w:ascii="Arial" w:hAnsi="Arial" w:cs="Arial"/>
        </w:rPr>
        <w:t xml:space="preserve">one form of intimate partner violence, including </w:t>
      </w:r>
      <w:r w:rsidR="00842290" w:rsidRPr="00FF60D9">
        <w:rPr>
          <w:rFonts w:ascii="Arial" w:hAnsi="Arial" w:cs="Arial"/>
        </w:rPr>
        <w:t>any contact sexual violence, physical violence, and/or stalking</w:t>
      </w:r>
      <w:r w:rsidRPr="00FF60D9">
        <w:rPr>
          <w:rFonts w:ascii="Arial" w:hAnsi="Arial" w:cs="Arial"/>
        </w:rPr>
        <w:t xml:space="preserve">, </w:t>
      </w:r>
      <w:r w:rsidR="00842290" w:rsidRPr="00FF60D9">
        <w:rPr>
          <w:rFonts w:ascii="Arial" w:hAnsi="Arial" w:cs="Arial"/>
        </w:rPr>
        <w:t xml:space="preserve">in their lifetime, </w:t>
      </w:r>
      <w:r w:rsidR="00033E9C" w:rsidRPr="00FF60D9">
        <w:rPr>
          <w:rFonts w:ascii="Arial" w:hAnsi="Arial" w:cs="Arial"/>
        </w:rPr>
        <w:t xml:space="preserve">while </w:t>
      </w:r>
      <w:r w:rsidR="00413D3B" w:rsidRPr="00FF60D9">
        <w:rPr>
          <w:rFonts w:ascii="Arial" w:hAnsi="Arial" w:cs="Arial"/>
        </w:rPr>
        <w:t>46% of women experiencing psychological aggression by an intimate partner in their lifetime.</w:t>
      </w:r>
      <w:r w:rsidR="00413D3B" w:rsidRPr="00FF60D9">
        <w:rPr>
          <w:rStyle w:val="FootnoteReference"/>
          <w:rFonts w:ascii="Arial" w:hAnsi="Arial" w:cs="Arial"/>
        </w:rPr>
        <w:footnoteReference w:id="44"/>
      </w:r>
      <w:r w:rsidR="00413D3B" w:rsidRPr="00FF60D9">
        <w:rPr>
          <w:rFonts w:ascii="Arial" w:hAnsi="Arial" w:cs="Arial"/>
        </w:rPr>
        <w:t xml:space="preserve"> </w:t>
      </w:r>
      <w:r w:rsidR="00E748A2" w:rsidRPr="00FF60D9">
        <w:rPr>
          <w:rFonts w:ascii="Arial" w:hAnsi="Arial" w:cs="Arial"/>
        </w:rPr>
        <w:t>32.9%</w:t>
      </w:r>
      <w:r w:rsidRPr="00FF60D9">
        <w:rPr>
          <w:rFonts w:ascii="Arial" w:hAnsi="Arial" w:cs="Arial"/>
        </w:rPr>
        <w:t xml:space="preserve"> of </w:t>
      </w:r>
      <w:r w:rsidR="00033E9C" w:rsidRPr="00FF60D9">
        <w:rPr>
          <w:rFonts w:ascii="Arial" w:hAnsi="Arial" w:cs="Arial"/>
        </w:rPr>
        <w:t xml:space="preserve">these </w:t>
      </w:r>
      <w:r w:rsidRPr="00FF60D9">
        <w:rPr>
          <w:rFonts w:ascii="Arial" w:hAnsi="Arial" w:cs="Arial"/>
        </w:rPr>
        <w:t>women experienc</w:t>
      </w:r>
      <w:r w:rsidR="00033E9C" w:rsidRPr="00FF60D9">
        <w:rPr>
          <w:rFonts w:ascii="Arial" w:hAnsi="Arial" w:cs="Arial"/>
        </w:rPr>
        <w:t>e</w:t>
      </w:r>
      <w:r w:rsidRPr="00FF60D9">
        <w:rPr>
          <w:rFonts w:ascii="Arial" w:hAnsi="Arial" w:cs="Arial"/>
        </w:rPr>
        <w:t xml:space="preserve"> </w:t>
      </w:r>
      <w:r w:rsidR="00033E9C" w:rsidRPr="00FF60D9">
        <w:rPr>
          <w:rFonts w:ascii="Arial" w:hAnsi="Arial" w:cs="Arial"/>
        </w:rPr>
        <w:t>only</w:t>
      </w:r>
      <w:r w:rsidR="00A165C7" w:rsidRPr="00FF60D9">
        <w:rPr>
          <w:rFonts w:ascii="Arial" w:hAnsi="Arial" w:cs="Arial"/>
        </w:rPr>
        <w:t xml:space="preserve"> </w:t>
      </w:r>
      <w:r w:rsidR="00033E9C" w:rsidRPr="00FF60D9">
        <w:rPr>
          <w:rFonts w:ascii="Arial" w:hAnsi="Arial" w:cs="Arial"/>
        </w:rPr>
        <w:t xml:space="preserve">some form of </w:t>
      </w:r>
      <w:r w:rsidRPr="00FF60D9">
        <w:rPr>
          <w:rFonts w:ascii="Arial" w:hAnsi="Arial" w:cs="Arial"/>
        </w:rPr>
        <w:t>physical violenc</w:t>
      </w:r>
      <w:r w:rsidR="00033E9C" w:rsidRPr="00FF60D9">
        <w:rPr>
          <w:rFonts w:ascii="Arial" w:hAnsi="Arial" w:cs="Arial"/>
        </w:rPr>
        <w:t xml:space="preserve">e </w:t>
      </w:r>
      <w:r w:rsidR="00413D3B" w:rsidRPr="00FF60D9">
        <w:rPr>
          <w:rFonts w:ascii="Arial" w:hAnsi="Arial" w:cs="Arial"/>
        </w:rPr>
        <w:t>w</w:t>
      </w:r>
      <w:r w:rsidR="00033E9C" w:rsidRPr="00FF60D9">
        <w:rPr>
          <w:rFonts w:ascii="Arial" w:hAnsi="Arial" w:cs="Arial"/>
        </w:rPr>
        <w:t>hile</w:t>
      </w:r>
      <w:r w:rsidR="00413D3B" w:rsidRPr="00FF60D9">
        <w:rPr>
          <w:rFonts w:ascii="Arial" w:hAnsi="Arial" w:cs="Arial"/>
        </w:rPr>
        <w:t xml:space="preserve"> another </w:t>
      </w:r>
      <w:r w:rsidR="00A165C7" w:rsidRPr="00FF60D9">
        <w:rPr>
          <w:rFonts w:ascii="Arial" w:hAnsi="Arial" w:cs="Arial"/>
        </w:rPr>
        <w:t>24.3% of wo</w:t>
      </w:r>
      <w:r w:rsidR="00413D3B" w:rsidRPr="00FF60D9">
        <w:rPr>
          <w:rFonts w:ascii="Arial" w:hAnsi="Arial" w:cs="Arial"/>
        </w:rPr>
        <w:t>men experienc</w:t>
      </w:r>
      <w:r w:rsidR="00033E9C" w:rsidRPr="00FF60D9">
        <w:rPr>
          <w:rFonts w:ascii="Arial" w:hAnsi="Arial" w:cs="Arial"/>
        </w:rPr>
        <w:t>e</w:t>
      </w:r>
      <w:r w:rsidR="00A165C7" w:rsidRPr="00FF60D9">
        <w:rPr>
          <w:rFonts w:ascii="Arial" w:hAnsi="Arial" w:cs="Arial"/>
        </w:rPr>
        <w:t xml:space="preserve"> </w:t>
      </w:r>
      <w:r w:rsidR="00A165C7" w:rsidRPr="00FF60D9">
        <w:rPr>
          <w:rFonts w:ascii="Arial" w:hAnsi="Arial" w:cs="Arial"/>
          <w:i/>
        </w:rPr>
        <w:t>severe</w:t>
      </w:r>
      <w:r w:rsidR="002C429F" w:rsidRPr="00FF60D9">
        <w:rPr>
          <w:rFonts w:ascii="Arial" w:hAnsi="Arial" w:cs="Arial"/>
        </w:rPr>
        <w:t xml:space="preserve"> physical violence by an intimate partner in their lifetime.</w:t>
      </w:r>
      <w:r w:rsidR="003D2139" w:rsidRPr="00FF60D9">
        <w:rPr>
          <w:rStyle w:val="FootnoteReference"/>
          <w:rFonts w:ascii="Arial" w:hAnsi="Arial" w:cs="Arial"/>
        </w:rPr>
        <w:footnoteReference w:id="45"/>
      </w:r>
      <w:r w:rsidR="002C429F" w:rsidRPr="00FF60D9">
        <w:rPr>
          <w:rFonts w:ascii="Arial" w:hAnsi="Arial" w:cs="Arial"/>
        </w:rPr>
        <w:t xml:space="preserve"> Severe physical violence includes being pulled by the hair, hit with a fist or other hard thing, kicked, slammed against something, strangled (includes suffocation by other means), beaten, burned, or ha</w:t>
      </w:r>
      <w:r w:rsidR="00033E9C" w:rsidRPr="00FF60D9">
        <w:rPr>
          <w:rFonts w:ascii="Arial" w:hAnsi="Arial" w:cs="Arial"/>
        </w:rPr>
        <w:t>ving</w:t>
      </w:r>
      <w:r w:rsidR="002C429F" w:rsidRPr="00FF60D9">
        <w:rPr>
          <w:rFonts w:ascii="Arial" w:hAnsi="Arial" w:cs="Arial"/>
        </w:rPr>
        <w:t xml:space="preserve"> a knife or gun used</w:t>
      </w:r>
      <w:r w:rsidR="00EC3093" w:rsidRPr="00FF60D9">
        <w:rPr>
          <w:rFonts w:ascii="Arial" w:hAnsi="Arial" w:cs="Arial"/>
        </w:rPr>
        <w:t xml:space="preserve"> on them</w:t>
      </w:r>
      <w:r w:rsidR="00033E9C" w:rsidRPr="00FF60D9">
        <w:rPr>
          <w:rFonts w:ascii="Arial" w:hAnsi="Arial" w:cs="Arial"/>
        </w:rPr>
        <w:t>; severe physical violence</w:t>
      </w:r>
      <w:r w:rsidR="00EC3093" w:rsidRPr="00FF60D9">
        <w:rPr>
          <w:rFonts w:ascii="Arial" w:hAnsi="Arial" w:cs="Arial"/>
        </w:rPr>
        <w:t xml:space="preserve"> excludes</w:t>
      </w:r>
      <w:r w:rsidR="00E40323" w:rsidRPr="00FF60D9">
        <w:rPr>
          <w:rFonts w:ascii="Arial" w:hAnsi="Arial" w:cs="Arial"/>
        </w:rPr>
        <w:t xml:space="preserve"> slapping, pushing, and shoving.</w:t>
      </w:r>
      <w:r w:rsidR="003D2139" w:rsidRPr="00FF60D9">
        <w:rPr>
          <w:rStyle w:val="FootnoteReference"/>
          <w:rFonts w:ascii="Arial" w:hAnsi="Arial" w:cs="Arial"/>
        </w:rPr>
        <w:footnoteReference w:id="46"/>
      </w:r>
      <w:r w:rsidR="00D11971" w:rsidRPr="00FF60D9">
        <w:rPr>
          <w:rFonts w:ascii="Arial" w:hAnsi="Arial" w:cs="Arial"/>
        </w:rPr>
        <w:t xml:space="preserve"> Most of those who report having experienced IPV in their lifetime report their </w:t>
      </w:r>
      <w:r w:rsidR="00A7441A" w:rsidRPr="00FF60D9">
        <w:rPr>
          <w:rFonts w:ascii="Arial" w:hAnsi="Arial" w:cs="Arial"/>
        </w:rPr>
        <w:t xml:space="preserve">first experience </w:t>
      </w:r>
      <w:r w:rsidR="00D11971" w:rsidRPr="00FF60D9">
        <w:rPr>
          <w:rFonts w:ascii="Arial" w:hAnsi="Arial" w:cs="Arial"/>
        </w:rPr>
        <w:t xml:space="preserve">occurring </w:t>
      </w:r>
      <w:r w:rsidR="00E40323" w:rsidRPr="00FF60D9">
        <w:rPr>
          <w:rFonts w:ascii="Arial" w:hAnsi="Arial" w:cs="Arial"/>
        </w:rPr>
        <w:t xml:space="preserve">under the age of 24. 47.1% of women </w:t>
      </w:r>
      <w:r w:rsidR="00E40323" w:rsidRPr="00FF60D9">
        <w:rPr>
          <w:rFonts w:ascii="Arial" w:hAnsi="Arial" w:cs="Arial"/>
        </w:rPr>
        <w:lastRenderedPageBreak/>
        <w:t>report their first experience to have been between 18 and 24 with another 22.4% occurring between 11 and 17.</w:t>
      </w:r>
      <w:r w:rsidR="003D2139" w:rsidRPr="00FF60D9">
        <w:rPr>
          <w:rStyle w:val="FootnoteReference"/>
          <w:rFonts w:ascii="Arial" w:hAnsi="Arial" w:cs="Arial"/>
        </w:rPr>
        <w:footnoteReference w:id="47"/>
      </w:r>
      <w:r w:rsidR="00E40323" w:rsidRPr="00FF60D9">
        <w:rPr>
          <w:rFonts w:ascii="Arial" w:hAnsi="Arial" w:cs="Arial"/>
        </w:rPr>
        <w:t xml:space="preserve"> </w:t>
      </w:r>
    </w:p>
    <w:p w14:paraId="7533B1E1" w14:textId="77777777" w:rsidR="004F7CDA" w:rsidRPr="00FF60D9" w:rsidRDefault="004F7CDA" w:rsidP="00FF60D9">
      <w:pPr>
        <w:spacing w:line="480" w:lineRule="auto"/>
        <w:rPr>
          <w:rFonts w:ascii="Arial" w:hAnsi="Arial" w:cs="Arial"/>
        </w:rPr>
      </w:pPr>
    </w:p>
    <w:p w14:paraId="4E518816" w14:textId="346B6328" w:rsidR="00A053E6" w:rsidRPr="00FF60D9" w:rsidRDefault="00A053E6" w:rsidP="00FF60D9">
      <w:pPr>
        <w:pStyle w:val="ListParagraph"/>
        <w:numPr>
          <w:ilvl w:val="1"/>
          <w:numId w:val="9"/>
        </w:numPr>
        <w:spacing w:line="480" w:lineRule="auto"/>
        <w:rPr>
          <w:rFonts w:ascii="Arial" w:hAnsi="Arial" w:cs="Arial"/>
          <w:b/>
        </w:rPr>
      </w:pPr>
      <w:r w:rsidRPr="00FF60D9">
        <w:rPr>
          <w:rFonts w:ascii="Arial" w:hAnsi="Arial" w:cs="Arial"/>
          <w:b/>
        </w:rPr>
        <w:t>Rates in the Military Population</w:t>
      </w:r>
    </w:p>
    <w:p w14:paraId="67CB48F8" w14:textId="77777777" w:rsidR="008B18FA" w:rsidRPr="00FF60D9" w:rsidRDefault="00A7441A" w:rsidP="00FF60D9">
      <w:pPr>
        <w:spacing w:line="480" w:lineRule="auto"/>
        <w:ind w:left="720"/>
        <w:rPr>
          <w:rFonts w:ascii="Arial" w:hAnsi="Arial" w:cs="Arial"/>
          <w:color w:val="000000" w:themeColor="text1"/>
        </w:rPr>
      </w:pPr>
      <w:r w:rsidRPr="00FF60D9">
        <w:rPr>
          <w:rFonts w:ascii="Arial" w:hAnsi="Arial" w:cs="Arial"/>
          <w:color w:val="000000"/>
        </w:rPr>
        <w:t xml:space="preserve">Comparing the previous rates of violence in the general population to rates in the CG population proves difficult for a variety of reasons. </w:t>
      </w:r>
      <w:r w:rsidR="00353261" w:rsidRPr="00FF60D9">
        <w:rPr>
          <w:rFonts w:ascii="Arial" w:hAnsi="Arial" w:cs="Arial"/>
          <w:color w:val="000000"/>
        </w:rPr>
        <w:t>Primarily at work is the fact that a</w:t>
      </w:r>
      <w:r w:rsidRPr="00FF60D9">
        <w:rPr>
          <w:rFonts w:ascii="Arial" w:hAnsi="Arial" w:cs="Arial"/>
          <w:color w:val="000000"/>
        </w:rPr>
        <w:t xml:space="preserve">lthough the CG is a military branch, not all of the DOD’s rules apply to the service. For instance, certain </w:t>
      </w:r>
      <w:r w:rsidR="00B139BA" w:rsidRPr="00FF60D9">
        <w:rPr>
          <w:rFonts w:ascii="Arial" w:hAnsi="Arial" w:cs="Arial"/>
          <w:color w:val="000000" w:themeColor="text1"/>
        </w:rPr>
        <w:t xml:space="preserve">DOD </w:t>
      </w:r>
      <w:r w:rsidR="00AF1980" w:rsidRPr="00FF60D9">
        <w:rPr>
          <w:rFonts w:ascii="Arial" w:hAnsi="Arial" w:cs="Arial"/>
          <w:color w:val="000000" w:themeColor="text1"/>
        </w:rPr>
        <w:t>policies</w:t>
      </w:r>
      <w:r w:rsidR="00B139BA" w:rsidRPr="00FF60D9">
        <w:rPr>
          <w:rFonts w:ascii="Arial" w:hAnsi="Arial" w:cs="Arial"/>
          <w:color w:val="000000" w:themeColor="text1"/>
        </w:rPr>
        <w:t xml:space="preserve"> may not extend to cover the CG is in the reporting of program information, and participation in military-wide studies and surveys</w:t>
      </w:r>
      <w:r w:rsidRPr="00FF60D9">
        <w:rPr>
          <w:rFonts w:ascii="Arial" w:hAnsi="Arial" w:cs="Arial"/>
          <w:color w:val="000000" w:themeColor="text1"/>
        </w:rPr>
        <w:t xml:space="preserve"> is </w:t>
      </w:r>
      <w:r w:rsidR="008B18FA" w:rsidRPr="00FF60D9">
        <w:rPr>
          <w:rFonts w:ascii="Arial" w:hAnsi="Arial" w:cs="Arial"/>
          <w:color w:val="000000" w:themeColor="text1"/>
        </w:rPr>
        <w:t>sometimes</w:t>
      </w:r>
      <w:r w:rsidRPr="00FF60D9">
        <w:rPr>
          <w:rFonts w:ascii="Arial" w:hAnsi="Arial" w:cs="Arial"/>
          <w:color w:val="000000" w:themeColor="text1"/>
        </w:rPr>
        <w:t xml:space="preserve"> elective rather than compulsory or automatic</w:t>
      </w:r>
      <w:r w:rsidR="00B139BA" w:rsidRPr="00FF60D9">
        <w:rPr>
          <w:rFonts w:ascii="Arial" w:hAnsi="Arial" w:cs="Arial"/>
          <w:color w:val="000000" w:themeColor="text1"/>
        </w:rPr>
        <w:t>.</w:t>
      </w:r>
      <w:r w:rsidRPr="00FF60D9">
        <w:rPr>
          <w:rStyle w:val="FootnoteReference"/>
          <w:rFonts w:ascii="Arial" w:hAnsi="Arial" w:cs="Arial"/>
          <w:color w:val="000000" w:themeColor="text1"/>
        </w:rPr>
        <w:footnoteReference w:id="48"/>
      </w:r>
      <w:r w:rsidR="00B139BA" w:rsidRPr="00FF60D9">
        <w:rPr>
          <w:rFonts w:ascii="Arial" w:hAnsi="Arial" w:cs="Arial"/>
          <w:color w:val="000000" w:themeColor="text1"/>
        </w:rPr>
        <w:t xml:space="preserve"> Specifically, two of the informational sources relied upon for </w:t>
      </w:r>
      <w:r w:rsidR="00CE7519" w:rsidRPr="00FF60D9">
        <w:rPr>
          <w:rFonts w:ascii="Arial" w:hAnsi="Arial" w:cs="Arial"/>
          <w:color w:val="000000" w:themeColor="text1"/>
        </w:rPr>
        <w:t xml:space="preserve">IPV data in </w:t>
      </w:r>
      <w:r w:rsidR="00B139BA" w:rsidRPr="00FF60D9">
        <w:rPr>
          <w:rFonts w:ascii="Arial" w:hAnsi="Arial" w:cs="Arial"/>
          <w:color w:val="000000" w:themeColor="text1"/>
        </w:rPr>
        <w:t>this</w:t>
      </w:r>
      <w:r w:rsidR="008B18FA" w:rsidRPr="00FF60D9">
        <w:rPr>
          <w:rFonts w:ascii="Arial" w:hAnsi="Arial" w:cs="Arial"/>
          <w:color w:val="000000" w:themeColor="text1"/>
        </w:rPr>
        <w:t xml:space="preserve"> paper leave out the CG entirely</w:t>
      </w:r>
      <w:r w:rsidR="00B139BA" w:rsidRPr="00FF60D9">
        <w:rPr>
          <w:rFonts w:ascii="Arial" w:hAnsi="Arial" w:cs="Arial"/>
          <w:color w:val="000000" w:themeColor="text1"/>
        </w:rPr>
        <w:t>.</w:t>
      </w:r>
      <w:r w:rsidR="00353261" w:rsidRPr="00FF60D9">
        <w:rPr>
          <w:rStyle w:val="FootnoteReference"/>
          <w:rFonts w:ascii="Arial" w:hAnsi="Arial" w:cs="Arial"/>
          <w:color w:val="000000" w:themeColor="text1"/>
        </w:rPr>
        <w:footnoteReference w:id="49"/>
      </w:r>
      <w:r w:rsidR="00B139BA" w:rsidRPr="00FF60D9">
        <w:rPr>
          <w:rFonts w:ascii="Arial" w:hAnsi="Arial" w:cs="Arial"/>
          <w:color w:val="000000" w:themeColor="text1"/>
        </w:rPr>
        <w:t xml:space="preserve"> </w:t>
      </w:r>
      <w:r w:rsidR="00601DAD" w:rsidRPr="00FF60D9">
        <w:rPr>
          <w:rFonts w:ascii="Arial" w:hAnsi="Arial" w:cs="Arial"/>
          <w:color w:val="000000" w:themeColor="text1"/>
        </w:rPr>
        <w:t xml:space="preserve">Because of this discrepancy, assessing rates of IPV in the Coast Guard prove extraordinarily difficult as there are no </w:t>
      </w:r>
      <w:r w:rsidR="00AD6DF7" w:rsidRPr="00FF60D9">
        <w:rPr>
          <w:rFonts w:ascii="Arial" w:hAnsi="Arial" w:cs="Arial"/>
          <w:color w:val="000000" w:themeColor="text1"/>
        </w:rPr>
        <w:t>direct reports or surveys</w:t>
      </w:r>
      <w:r w:rsidR="008B18FA" w:rsidRPr="00FF60D9">
        <w:rPr>
          <w:rFonts w:ascii="Arial" w:hAnsi="Arial" w:cs="Arial"/>
          <w:color w:val="000000" w:themeColor="text1"/>
        </w:rPr>
        <w:t xml:space="preserve"> that are on point with something similar to a uniform definition or that used by the NIVSV</w:t>
      </w:r>
      <w:r w:rsidR="00AD6DF7" w:rsidRPr="00FF60D9">
        <w:rPr>
          <w:rFonts w:ascii="Arial" w:hAnsi="Arial" w:cs="Arial"/>
          <w:color w:val="000000" w:themeColor="text1"/>
        </w:rPr>
        <w:t>.</w:t>
      </w:r>
      <w:r w:rsidR="008B18FA" w:rsidRPr="00FF60D9">
        <w:rPr>
          <w:rStyle w:val="FootnoteReference"/>
          <w:rFonts w:ascii="Arial" w:hAnsi="Arial" w:cs="Arial"/>
          <w:color w:val="000000" w:themeColor="text1"/>
        </w:rPr>
        <w:footnoteReference w:id="50"/>
      </w:r>
      <w:r w:rsidR="00AD6DF7" w:rsidRPr="00FF60D9">
        <w:rPr>
          <w:rFonts w:ascii="Arial" w:hAnsi="Arial" w:cs="Arial"/>
          <w:color w:val="000000" w:themeColor="text1"/>
        </w:rPr>
        <w:t xml:space="preserve"> </w:t>
      </w:r>
    </w:p>
    <w:p w14:paraId="35770BA4" w14:textId="77777777" w:rsidR="008B18FA" w:rsidRPr="00FF60D9" w:rsidRDefault="008B18FA" w:rsidP="00FF60D9">
      <w:pPr>
        <w:spacing w:line="480" w:lineRule="auto"/>
        <w:ind w:left="720"/>
        <w:rPr>
          <w:rFonts w:ascii="Arial" w:hAnsi="Arial" w:cs="Arial"/>
          <w:color w:val="000000" w:themeColor="text1"/>
        </w:rPr>
      </w:pPr>
    </w:p>
    <w:p w14:paraId="0F7B2854" w14:textId="5D734F2E" w:rsidR="00214017" w:rsidRPr="00FF60D9" w:rsidRDefault="00AD6DF7" w:rsidP="00FF60D9">
      <w:pPr>
        <w:spacing w:line="480" w:lineRule="auto"/>
        <w:ind w:left="720"/>
        <w:rPr>
          <w:rFonts w:ascii="Arial" w:hAnsi="Arial" w:cs="Arial"/>
          <w:color w:val="000000" w:themeColor="text1"/>
        </w:rPr>
      </w:pPr>
      <w:r w:rsidRPr="00FF60D9">
        <w:rPr>
          <w:rFonts w:ascii="Arial" w:hAnsi="Arial" w:cs="Arial"/>
          <w:color w:val="000000" w:themeColor="text1"/>
        </w:rPr>
        <w:t xml:space="preserve">In 2014, the CG participated in a RAND Sexual Assault and Sexual Harassment workplace study (RAND Study) which revealed the occurrence rate similarities </w:t>
      </w:r>
      <w:r w:rsidRPr="00FF60D9">
        <w:rPr>
          <w:rFonts w:ascii="Arial" w:hAnsi="Arial" w:cs="Arial"/>
          <w:color w:val="000000" w:themeColor="text1"/>
        </w:rPr>
        <w:lastRenderedPageBreak/>
        <w:t>and disparities between the five branches and may correlate similarly with occurrences of IPV in the same branches.</w:t>
      </w:r>
      <w:r w:rsidR="003C497F" w:rsidRPr="00FF60D9">
        <w:rPr>
          <w:rStyle w:val="FootnoteReference"/>
          <w:rFonts w:ascii="Arial" w:hAnsi="Arial" w:cs="Arial"/>
          <w:color w:val="000000" w:themeColor="text1"/>
        </w:rPr>
        <w:footnoteReference w:id="51"/>
      </w:r>
      <w:r w:rsidRPr="00FF60D9">
        <w:rPr>
          <w:rFonts w:ascii="Arial" w:hAnsi="Arial" w:cs="Arial"/>
          <w:color w:val="000000" w:themeColor="text1"/>
        </w:rPr>
        <w:t xml:space="preserve"> For instance, the Navy presents significantly higher rates of male sexual assault</w:t>
      </w:r>
      <w:r w:rsidR="00214017" w:rsidRPr="00FF60D9">
        <w:rPr>
          <w:rFonts w:ascii="Arial" w:hAnsi="Arial" w:cs="Arial"/>
          <w:color w:val="000000" w:themeColor="text1"/>
        </w:rPr>
        <w:t>, which then impacts an overall higher rate of total experiences in that service.</w:t>
      </w:r>
      <w:r w:rsidR="003C497F" w:rsidRPr="00FF60D9">
        <w:rPr>
          <w:rStyle w:val="FootnoteReference"/>
          <w:rFonts w:ascii="Arial" w:hAnsi="Arial" w:cs="Arial"/>
          <w:color w:val="000000" w:themeColor="text1"/>
        </w:rPr>
        <w:footnoteReference w:id="52"/>
      </w:r>
      <w:r w:rsidR="00214017" w:rsidRPr="00FF60D9">
        <w:rPr>
          <w:rFonts w:ascii="Arial" w:hAnsi="Arial" w:cs="Arial"/>
          <w:color w:val="000000" w:themeColor="text1"/>
        </w:rPr>
        <w:t xml:space="preserve"> In general, the Coast Guard’s rates of SA experiences tend to be greater than that of the Air Force, and about the same as that of the Army and Marines.</w:t>
      </w:r>
      <w:r w:rsidR="003C497F" w:rsidRPr="00FF60D9">
        <w:rPr>
          <w:rStyle w:val="FootnoteReference"/>
          <w:rFonts w:ascii="Arial" w:hAnsi="Arial" w:cs="Arial"/>
          <w:color w:val="000000" w:themeColor="text1"/>
        </w:rPr>
        <w:footnoteReference w:id="53"/>
      </w:r>
      <w:r w:rsidR="003C497F" w:rsidRPr="00FF60D9">
        <w:rPr>
          <w:rFonts w:ascii="Arial" w:hAnsi="Arial" w:cs="Arial"/>
          <w:color w:val="000000" w:themeColor="text1"/>
        </w:rPr>
        <w:t xml:space="preserve"> General rate comparisons to</w:t>
      </w:r>
      <w:r w:rsidR="00214017" w:rsidRPr="00FF60D9">
        <w:rPr>
          <w:rFonts w:ascii="Arial" w:hAnsi="Arial" w:cs="Arial"/>
          <w:color w:val="000000" w:themeColor="text1"/>
        </w:rPr>
        <w:t xml:space="preserve"> </w:t>
      </w:r>
      <w:r w:rsidR="003C497F" w:rsidRPr="00FF60D9">
        <w:rPr>
          <w:rFonts w:ascii="Arial" w:hAnsi="Arial" w:cs="Arial"/>
          <w:color w:val="000000" w:themeColor="text1"/>
        </w:rPr>
        <w:t>the other branches</w:t>
      </w:r>
      <w:r w:rsidR="00214017" w:rsidRPr="00FF60D9">
        <w:rPr>
          <w:rFonts w:ascii="Arial" w:hAnsi="Arial" w:cs="Arial"/>
          <w:color w:val="000000" w:themeColor="text1"/>
        </w:rPr>
        <w:t xml:space="preserve"> could be used to </w:t>
      </w:r>
      <w:r w:rsidR="003C497F" w:rsidRPr="00FF60D9">
        <w:rPr>
          <w:rFonts w:ascii="Arial" w:hAnsi="Arial" w:cs="Arial"/>
          <w:color w:val="000000" w:themeColor="text1"/>
        </w:rPr>
        <w:t xml:space="preserve">contemplate </w:t>
      </w:r>
      <w:r w:rsidR="00214017" w:rsidRPr="00FF60D9">
        <w:rPr>
          <w:rFonts w:ascii="Arial" w:hAnsi="Arial" w:cs="Arial"/>
          <w:color w:val="000000" w:themeColor="text1"/>
        </w:rPr>
        <w:t xml:space="preserve">the </w:t>
      </w:r>
      <w:r w:rsidR="00B76669" w:rsidRPr="00FF60D9">
        <w:rPr>
          <w:rFonts w:ascii="Arial" w:hAnsi="Arial" w:cs="Arial"/>
          <w:color w:val="000000" w:themeColor="text1"/>
        </w:rPr>
        <w:t xml:space="preserve">comparative </w:t>
      </w:r>
      <w:r w:rsidR="00214017" w:rsidRPr="00FF60D9">
        <w:rPr>
          <w:rFonts w:ascii="Arial" w:hAnsi="Arial" w:cs="Arial"/>
          <w:color w:val="000000" w:themeColor="text1"/>
        </w:rPr>
        <w:t xml:space="preserve">rates of IPV in the </w:t>
      </w:r>
      <w:r w:rsidR="003C497F" w:rsidRPr="00FF60D9">
        <w:rPr>
          <w:rFonts w:ascii="Arial" w:hAnsi="Arial" w:cs="Arial"/>
          <w:color w:val="000000" w:themeColor="text1"/>
        </w:rPr>
        <w:t>CG</w:t>
      </w:r>
      <w:r w:rsidR="00214017" w:rsidRPr="00FF60D9">
        <w:rPr>
          <w:rFonts w:ascii="Arial" w:hAnsi="Arial" w:cs="Arial"/>
          <w:color w:val="000000" w:themeColor="text1"/>
        </w:rPr>
        <w:t xml:space="preserve"> </w:t>
      </w:r>
      <w:r w:rsidR="00B76669" w:rsidRPr="00FF60D9">
        <w:rPr>
          <w:rFonts w:ascii="Arial" w:hAnsi="Arial" w:cs="Arial"/>
          <w:color w:val="000000" w:themeColor="text1"/>
        </w:rPr>
        <w:t>.</w:t>
      </w:r>
    </w:p>
    <w:p w14:paraId="2BB16D5B" w14:textId="77777777" w:rsidR="00B76669" w:rsidRPr="00FF60D9" w:rsidRDefault="00B76669" w:rsidP="00FF60D9">
      <w:pPr>
        <w:spacing w:line="480" w:lineRule="auto"/>
        <w:ind w:left="720"/>
        <w:rPr>
          <w:rFonts w:ascii="Arial" w:hAnsi="Arial" w:cs="Arial"/>
          <w:color w:val="000000" w:themeColor="text1"/>
        </w:rPr>
      </w:pPr>
    </w:p>
    <w:p w14:paraId="1F4965DD" w14:textId="49835D71" w:rsidR="00412789" w:rsidRPr="00FF60D9" w:rsidRDefault="00B76669" w:rsidP="00FF60D9">
      <w:pPr>
        <w:spacing w:line="480" w:lineRule="auto"/>
        <w:ind w:left="720"/>
        <w:rPr>
          <w:rStyle w:val="FootnoteReference"/>
          <w:rFonts w:ascii="Arial" w:hAnsi="Arial" w:cs="Arial"/>
          <w:color w:val="000000"/>
          <w:vertAlign w:val="baseline"/>
        </w:rPr>
      </w:pPr>
      <w:r w:rsidRPr="00FF60D9">
        <w:rPr>
          <w:rFonts w:ascii="Arial" w:hAnsi="Arial" w:cs="Arial"/>
          <w:color w:val="000000" w:themeColor="text1"/>
        </w:rPr>
        <w:t>Regarding SA in</w:t>
      </w:r>
      <w:r w:rsidRPr="00FF60D9">
        <w:rPr>
          <w:rFonts w:ascii="Arial" w:hAnsi="Arial" w:cs="Arial"/>
          <w:color w:val="000000"/>
        </w:rPr>
        <w:t xml:space="preserve"> the Coast Guard, according to data from a 2014 RAND survey, 2.97% of women reported experiencing any sexual assault within the year prior to the survey.</w:t>
      </w:r>
      <w:r w:rsidRPr="00FF60D9">
        <w:rPr>
          <w:rStyle w:val="FootnoteReference"/>
          <w:rFonts w:ascii="Arial" w:hAnsi="Arial" w:cs="Arial"/>
          <w:color w:val="000000"/>
        </w:rPr>
        <w:footnoteReference w:id="54"/>
      </w:r>
      <w:r w:rsidRPr="00FF60D9">
        <w:rPr>
          <w:rFonts w:ascii="Arial" w:hAnsi="Arial" w:cs="Arial"/>
          <w:color w:val="000000"/>
        </w:rPr>
        <w:t xml:space="preserve"> Moreover, 16.45% of women reported experiencing sexual assault since joining the service and roughly 19% of women in the CG reported experiencing a sexually hostile working environment or sexual harassment within the year prior to the survey.</w:t>
      </w:r>
      <w:r w:rsidRPr="00FF60D9">
        <w:rPr>
          <w:rStyle w:val="FootnoteReference"/>
          <w:rFonts w:ascii="Arial" w:hAnsi="Arial" w:cs="Arial"/>
          <w:color w:val="000000"/>
        </w:rPr>
        <w:footnoteReference w:id="55"/>
      </w:r>
      <w:r w:rsidRPr="00FF60D9">
        <w:rPr>
          <w:rFonts w:ascii="Arial" w:hAnsi="Arial" w:cs="Arial"/>
          <w:color w:val="000000"/>
        </w:rPr>
        <w:t xml:space="preserve"> Within the military population as a whole, according to 2010 data from the NISVS survey, 5.6% of active duty military women</w:t>
      </w:r>
      <w:r w:rsidRPr="00FF60D9">
        <w:rPr>
          <w:rStyle w:val="FootnoteReference"/>
          <w:rFonts w:ascii="Arial" w:hAnsi="Arial" w:cs="Arial"/>
          <w:color w:val="000000"/>
        </w:rPr>
        <w:footnoteReference w:id="56"/>
      </w:r>
      <w:r w:rsidRPr="00FF60D9">
        <w:rPr>
          <w:rFonts w:ascii="Arial" w:hAnsi="Arial" w:cs="Arial"/>
          <w:color w:val="000000"/>
        </w:rPr>
        <w:t xml:space="preserve"> reported contact sexual violence within the year prior to the survey, while 36.</w:t>
      </w:r>
      <w:r w:rsidR="00534DF4">
        <w:rPr>
          <w:rFonts w:ascii="Arial" w:hAnsi="Arial" w:cs="Arial"/>
          <w:color w:val="000000"/>
        </w:rPr>
        <w:t>3</w:t>
      </w:r>
      <w:r w:rsidR="001574D6">
        <w:rPr>
          <w:rFonts w:ascii="Arial" w:hAnsi="Arial" w:cs="Arial"/>
          <w:color w:val="000000"/>
        </w:rPr>
        <w:t xml:space="preserve">% </w:t>
      </w:r>
      <w:r w:rsidRPr="00FF60D9">
        <w:rPr>
          <w:rFonts w:ascii="Arial" w:hAnsi="Arial" w:cs="Arial"/>
          <w:color w:val="000000"/>
        </w:rPr>
        <w:t>reported experiencing the same within their lifetime.</w:t>
      </w:r>
      <w:r w:rsidRPr="00FF60D9">
        <w:rPr>
          <w:rStyle w:val="FootnoteReference"/>
          <w:rFonts w:ascii="Arial" w:hAnsi="Arial" w:cs="Arial"/>
          <w:color w:val="000000"/>
        </w:rPr>
        <w:footnoteReference w:id="57"/>
      </w:r>
    </w:p>
    <w:p w14:paraId="013D03C2" w14:textId="77777777" w:rsidR="00EE505E" w:rsidRPr="00FF60D9" w:rsidRDefault="00EE505E" w:rsidP="00FF60D9">
      <w:pPr>
        <w:spacing w:line="480" w:lineRule="auto"/>
        <w:ind w:left="720"/>
        <w:rPr>
          <w:rFonts w:ascii="Arial" w:hAnsi="Arial" w:cs="Arial"/>
          <w:color w:val="000000"/>
        </w:rPr>
      </w:pPr>
    </w:p>
    <w:p w14:paraId="584C2CFB" w14:textId="74E6F38D" w:rsidR="00B76669" w:rsidRPr="00FF60D9" w:rsidRDefault="00EE505E" w:rsidP="00FF60D9">
      <w:pPr>
        <w:spacing w:line="480" w:lineRule="auto"/>
        <w:ind w:left="720"/>
        <w:rPr>
          <w:rFonts w:ascii="Arial" w:hAnsi="Arial" w:cs="Arial"/>
          <w:color w:val="000000"/>
        </w:rPr>
      </w:pPr>
      <w:r w:rsidRPr="00FF60D9">
        <w:rPr>
          <w:rFonts w:ascii="Arial" w:hAnsi="Arial" w:cs="Arial"/>
          <w:color w:val="000000"/>
        </w:rPr>
        <w:t xml:space="preserve">IPV in the military </w:t>
      </w:r>
      <w:r w:rsidR="00070107" w:rsidRPr="00FF60D9">
        <w:rPr>
          <w:rFonts w:ascii="Arial" w:hAnsi="Arial" w:cs="Arial"/>
          <w:color w:val="000000"/>
        </w:rPr>
        <w:t xml:space="preserve">is also a significant problem, but one that is much more difficult to </w:t>
      </w:r>
      <w:r w:rsidR="003D2139" w:rsidRPr="00FF60D9">
        <w:rPr>
          <w:rFonts w:ascii="Arial" w:hAnsi="Arial" w:cs="Arial"/>
          <w:color w:val="000000"/>
        </w:rPr>
        <w:t>capture</w:t>
      </w:r>
      <w:r w:rsidR="00070107" w:rsidRPr="00FF60D9">
        <w:rPr>
          <w:rFonts w:ascii="Arial" w:hAnsi="Arial" w:cs="Arial"/>
          <w:color w:val="000000"/>
        </w:rPr>
        <w:t xml:space="preserve">. </w:t>
      </w:r>
      <w:r w:rsidR="00B76669" w:rsidRPr="00FF60D9">
        <w:rPr>
          <w:rFonts w:ascii="Arial" w:hAnsi="Arial" w:cs="Arial"/>
          <w:color w:val="000000"/>
        </w:rPr>
        <w:t>Some studies have suggested that rates of IPV in the military are up to five times as high as the civilian population</w:t>
      </w:r>
      <w:r w:rsidR="00B76669" w:rsidRPr="00FF60D9">
        <w:rPr>
          <w:rStyle w:val="FootnoteReference"/>
          <w:rFonts w:ascii="Arial" w:hAnsi="Arial" w:cs="Arial"/>
          <w:color w:val="000000"/>
        </w:rPr>
        <w:footnoteReference w:id="58"/>
      </w:r>
      <w:r w:rsidR="00B76669" w:rsidRPr="00FF60D9">
        <w:rPr>
          <w:rFonts w:ascii="Arial" w:hAnsi="Arial" w:cs="Arial"/>
          <w:color w:val="000000"/>
        </w:rPr>
        <w:t xml:space="preserve"> while others show the rates to be only twice as high</w:t>
      </w:r>
      <w:r w:rsidR="00B76669" w:rsidRPr="00FF60D9">
        <w:rPr>
          <w:rStyle w:val="FootnoteReference"/>
          <w:rFonts w:ascii="Arial" w:hAnsi="Arial" w:cs="Arial"/>
          <w:color w:val="000000"/>
        </w:rPr>
        <w:footnoteReference w:id="59"/>
      </w:r>
      <w:r w:rsidR="00B76669" w:rsidRPr="00FF60D9">
        <w:rPr>
          <w:rFonts w:ascii="Arial" w:hAnsi="Arial" w:cs="Arial"/>
          <w:color w:val="000000"/>
        </w:rPr>
        <w:t>, or about the same.</w:t>
      </w:r>
      <w:r w:rsidR="00B76669" w:rsidRPr="00FF60D9">
        <w:rPr>
          <w:rStyle w:val="FootnoteReference"/>
          <w:rFonts w:ascii="Arial" w:hAnsi="Arial" w:cs="Arial"/>
          <w:color w:val="000000"/>
        </w:rPr>
        <w:footnoteReference w:id="60"/>
      </w:r>
      <w:r w:rsidR="00B76669" w:rsidRPr="00FF60D9">
        <w:rPr>
          <w:rFonts w:ascii="Arial" w:hAnsi="Arial" w:cs="Arial"/>
          <w:color w:val="000000"/>
        </w:rPr>
        <w:t xml:space="preserve"> These rates may vary drastically depending on the sub-group of military members </w:t>
      </w:r>
      <w:r w:rsidR="00534DF4" w:rsidRPr="00FF60D9">
        <w:rPr>
          <w:rFonts w:ascii="Arial" w:hAnsi="Arial" w:cs="Arial"/>
          <w:color w:val="000000"/>
        </w:rPr>
        <w:t>sampled and</w:t>
      </w:r>
      <w:r w:rsidR="00B76669" w:rsidRPr="00FF60D9">
        <w:rPr>
          <w:rFonts w:ascii="Arial" w:hAnsi="Arial" w:cs="Arial"/>
          <w:color w:val="000000"/>
        </w:rPr>
        <w:t xml:space="preserve"> on the definitions and metrics used</w:t>
      </w:r>
      <w:r w:rsidR="00534DF4">
        <w:rPr>
          <w:rFonts w:ascii="Arial" w:hAnsi="Arial" w:cs="Arial"/>
          <w:color w:val="000000"/>
        </w:rPr>
        <w:t>.</w:t>
      </w:r>
      <w:r w:rsidR="00534DF4" w:rsidRPr="00FF60D9">
        <w:rPr>
          <w:rStyle w:val="FootnoteReference"/>
          <w:rFonts w:ascii="Arial" w:hAnsi="Arial" w:cs="Arial"/>
          <w:color w:val="000000"/>
        </w:rPr>
        <w:footnoteReference w:id="61"/>
      </w:r>
      <w:r w:rsidR="00534DF4" w:rsidRPr="00FF60D9">
        <w:rPr>
          <w:rFonts w:ascii="Arial" w:hAnsi="Arial" w:cs="Arial"/>
          <w:color w:val="000000"/>
        </w:rPr>
        <w:t xml:space="preserve"> </w:t>
      </w:r>
      <w:r w:rsidR="00B76669" w:rsidRPr="00FF60D9">
        <w:rPr>
          <w:rFonts w:ascii="Arial" w:hAnsi="Arial" w:cs="Arial"/>
          <w:color w:val="000000"/>
        </w:rPr>
        <w:t>The most recent, national data from the CDC’s NISVS reports reveals that rates of IPV in the military are roughly equivalent to the rates within the civilian population.</w:t>
      </w:r>
      <w:r w:rsidR="00B76669" w:rsidRPr="00FF60D9">
        <w:rPr>
          <w:rStyle w:val="FootnoteReference"/>
          <w:rFonts w:ascii="Arial" w:hAnsi="Arial" w:cs="Arial"/>
          <w:color w:val="000000"/>
        </w:rPr>
        <w:footnoteReference w:id="62"/>
      </w:r>
      <w:r w:rsidR="00B76669" w:rsidRPr="00FF60D9">
        <w:rPr>
          <w:rFonts w:ascii="Arial" w:hAnsi="Arial" w:cs="Arial"/>
          <w:color w:val="000000"/>
        </w:rPr>
        <w:t xml:space="preserve"> </w:t>
      </w:r>
    </w:p>
    <w:p w14:paraId="29A45EAA" w14:textId="23AC15AD" w:rsidR="001A27E8" w:rsidRPr="00FF60D9" w:rsidRDefault="00B76669" w:rsidP="00FF60D9">
      <w:pPr>
        <w:spacing w:line="480" w:lineRule="auto"/>
        <w:ind w:left="720"/>
        <w:rPr>
          <w:rFonts w:ascii="Arial" w:hAnsi="Arial" w:cs="Arial"/>
          <w:color w:val="000000" w:themeColor="text1"/>
        </w:rPr>
      </w:pPr>
      <w:r w:rsidRPr="00FF60D9">
        <w:rPr>
          <w:rFonts w:ascii="Arial" w:hAnsi="Arial" w:cs="Arial"/>
          <w:color w:val="000000"/>
        </w:rPr>
        <w:t>Accordingly</w:t>
      </w:r>
      <w:r w:rsidR="00070107" w:rsidRPr="00FF60D9">
        <w:rPr>
          <w:rFonts w:ascii="Arial" w:hAnsi="Arial" w:cs="Arial"/>
          <w:color w:val="000000"/>
        </w:rPr>
        <w:t>, 28.4% of active duty women reported experiencing any physical violence by a partner in their lifetime, and 3.1% experienced the same within the year prior to the survey.</w:t>
      </w:r>
      <w:r w:rsidR="003D2139" w:rsidRPr="00FF60D9">
        <w:rPr>
          <w:rStyle w:val="FootnoteReference"/>
          <w:rFonts w:ascii="Arial" w:hAnsi="Arial" w:cs="Arial"/>
          <w:color w:val="000000"/>
        </w:rPr>
        <w:footnoteReference w:id="63"/>
      </w:r>
      <w:r w:rsidR="00070107" w:rsidRPr="00FF60D9">
        <w:rPr>
          <w:rFonts w:ascii="Arial" w:hAnsi="Arial" w:cs="Arial"/>
          <w:color w:val="000000"/>
        </w:rPr>
        <w:t xml:space="preserve"> Further, 19.2% of active duty women reported experiencing severe physical violence by an intimate partner in their lifetime, and 2% in the year prior to the survey.</w:t>
      </w:r>
      <w:r w:rsidR="003D2139" w:rsidRPr="00FF60D9">
        <w:rPr>
          <w:rStyle w:val="FootnoteReference"/>
          <w:rFonts w:ascii="Arial" w:hAnsi="Arial" w:cs="Arial"/>
          <w:color w:val="000000"/>
        </w:rPr>
        <w:footnoteReference w:id="64"/>
      </w:r>
      <w:r w:rsidR="00070107" w:rsidRPr="00FF60D9">
        <w:rPr>
          <w:rFonts w:ascii="Arial" w:hAnsi="Arial" w:cs="Arial"/>
          <w:color w:val="000000"/>
        </w:rPr>
        <w:t xml:space="preserve"> </w:t>
      </w:r>
      <w:r w:rsidR="00070107" w:rsidRPr="00FF60D9">
        <w:rPr>
          <w:rFonts w:ascii="Arial" w:hAnsi="Arial" w:cs="Arial"/>
          <w:color w:val="000000" w:themeColor="text1"/>
        </w:rPr>
        <w:t>Physical violence is not the only method of IPV, however</w:t>
      </w:r>
      <w:r w:rsidR="003C497F" w:rsidRPr="00FF60D9">
        <w:rPr>
          <w:rFonts w:ascii="Arial" w:hAnsi="Arial" w:cs="Arial"/>
          <w:color w:val="000000" w:themeColor="text1"/>
        </w:rPr>
        <w:t xml:space="preserve">, and physical violence rates do not wholly capture the prevalence of IPV. </w:t>
      </w:r>
      <w:r w:rsidRPr="00FF60D9">
        <w:rPr>
          <w:rFonts w:ascii="Arial" w:hAnsi="Arial" w:cs="Arial"/>
          <w:color w:val="000000" w:themeColor="text1"/>
        </w:rPr>
        <w:t xml:space="preserve">Another </w:t>
      </w:r>
      <w:r w:rsidR="00CD503C">
        <w:rPr>
          <w:rFonts w:ascii="Arial" w:hAnsi="Arial" w:cs="Arial"/>
          <w:color w:val="000000" w:themeColor="text1"/>
        </w:rPr>
        <w:t>11.4</w:t>
      </w:r>
      <w:r w:rsidR="00070107" w:rsidRPr="00FF60D9">
        <w:rPr>
          <w:rFonts w:ascii="Arial" w:hAnsi="Arial" w:cs="Arial"/>
          <w:color w:val="000000" w:themeColor="text1"/>
        </w:rPr>
        <w:t xml:space="preserve">% of active duty women reported experiencing stalking </w:t>
      </w:r>
      <w:r w:rsidR="00070107" w:rsidRPr="00FF60D9">
        <w:rPr>
          <w:rFonts w:ascii="Arial" w:hAnsi="Arial" w:cs="Arial"/>
          <w:color w:val="000000" w:themeColor="text1"/>
        </w:rPr>
        <w:lastRenderedPageBreak/>
        <w:t>behaviors by an intimate partner in their lifetime</w:t>
      </w:r>
      <w:r w:rsidR="00F45243" w:rsidRPr="00FF60D9">
        <w:rPr>
          <w:rFonts w:ascii="Arial" w:hAnsi="Arial" w:cs="Arial"/>
          <w:color w:val="000000" w:themeColor="text1"/>
        </w:rPr>
        <w:t xml:space="preserve"> and </w:t>
      </w:r>
      <w:r w:rsidR="00CD503C">
        <w:rPr>
          <w:rFonts w:ascii="Arial" w:hAnsi="Arial" w:cs="Arial"/>
          <w:color w:val="000000" w:themeColor="text1"/>
        </w:rPr>
        <w:t>3</w:t>
      </w:r>
      <w:r w:rsidR="00F45243" w:rsidRPr="00FF60D9">
        <w:rPr>
          <w:rFonts w:ascii="Arial" w:hAnsi="Arial" w:cs="Arial"/>
          <w:color w:val="000000" w:themeColor="text1"/>
        </w:rPr>
        <w:t>.3% the year prior</w:t>
      </w:r>
      <w:r w:rsidR="003D2139" w:rsidRPr="00FF60D9">
        <w:rPr>
          <w:rStyle w:val="FootnoteReference"/>
          <w:rFonts w:ascii="Arial" w:hAnsi="Arial" w:cs="Arial"/>
          <w:color w:val="000000" w:themeColor="text1"/>
        </w:rPr>
        <w:footnoteReference w:id="65"/>
      </w:r>
      <w:r w:rsidR="00070107" w:rsidRPr="00FF60D9">
        <w:rPr>
          <w:rFonts w:ascii="Arial" w:hAnsi="Arial" w:cs="Arial"/>
          <w:color w:val="000000" w:themeColor="text1"/>
        </w:rPr>
        <w:t xml:space="preserve"> and a staggering 53.7% of women</w:t>
      </w:r>
      <w:r w:rsidR="00501386" w:rsidRPr="00FF60D9">
        <w:rPr>
          <w:rFonts w:ascii="Arial" w:hAnsi="Arial" w:cs="Arial"/>
          <w:color w:val="000000" w:themeColor="text1"/>
        </w:rPr>
        <w:t xml:space="preserve"> experienced psychological aggression in their lifetime</w:t>
      </w:r>
      <w:r w:rsidR="001A27E8" w:rsidRPr="00FF60D9">
        <w:rPr>
          <w:rFonts w:ascii="Arial" w:hAnsi="Arial" w:cs="Arial"/>
          <w:color w:val="000000" w:themeColor="text1"/>
        </w:rPr>
        <w:t xml:space="preserve"> with 18.1% reporting the same in the year prior</w:t>
      </w:r>
      <w:r w:rsidR="003D2139" w:rsidRPr="00FF60D9">
        <w:rPr>
          <w:rFonts w:ascii="Arial" w:hAnsi="Arial" w:cs="Arial"/>
          <w:color w:val="000000" w:themeColor="text1"/>
        </w:rPr>
        <w:t>.</w:t>
      </w:r>
      <w:r w:rsidR="003D2139" w:rsidRPr="00FF60D9">
        <w:rPr>
          <w:rStyle w:val="FootnoteReference"/>
          <w:rFonts w:ascii="Arial" w:hAnsi="Arial" w:cs="Arial"/>
          <w:color w:val="000000" w:themeColor="text1"/>
        </w:rPr>
        <w:footnoteReference w:id="66"/>
      </w:r>
      <w:r w:rsidR="00501386" w:rsidRPr="00FF60D9">
        <w:rPr>
          <w:rFonts w:ascii="Arial" w:hAnsi="Arial" w:cs="Arial"/>
          <w:color w:val="000000" w:themeColor="text1"/>
        </w:rPr>
        <w:t xml:space="preserve"> </w:t>
      </w:r>
    </w:p>
    <w:p w14:paraId="55517A34" w14:textId="77777777" w:rsidR="001A27E8" w:rsidRPr="00FF60D9" w:rsidRDefault="001A27E8" w:rsidP="00FF60D9">
      <w:pPr>
        <w:spacing w:line="480" w:lineRule="auto"/>
        <w:ind w:left="720"/>
        <w:rPr>
          <w:rFonts w:ascii="Arial" w:hAnsi="Arial" w:cs="Arial"/>
          <w:color w:val="000000" w:themeColor="text1"/>
        </w:rPr>
      </w:pPr>
    </w:p>
    <w:p w14:paraId="1CC5DE9A" w14:textId="1EC44738" w:rsidR="00EE505E" w:rsidRPr="00FF60D9" w:rsidRDefault="001A27E8" w:rsidP="00FF60D9">
      <w:pPr>
        <w:spacing w:line="480" w:lineRule="auto"/>
        <w:ind w:left="720"/>
        <w:rPr>
          <w:rFonts w:ascii="Arial" w:hAnsi="Arial" w:cs="Arial"/>
          <w:color w:val="000000" w:themeColor="text1"/>
        </w:rPr>
      </w:pPr>
      <w:r w:rsidRPr="00FF60D9">
        <w:rPr>
          <w:rFonts w:ascii="Arial" w:hAnsi="Arial" w:cs="Arial"/>
          <w:color w:val="000000" w:themeColor="text1"/>
        </w:rPr>
        <w:t>Put together, the rates of IPV prevalence within the year prior to the survey (including</w:t>
      </w:r>
      <w:r w:rsidR="00F45243" w:rsidRPr="00FF60D9">
        <w:rPr>
          <w:rFonts w:ascii="Arial" w:hAnsi="Arial" w:cs="Arial"/>
          <w:color w:val="000000" w:themeColor="text1"/>
        </w:rPr>
        <w:t xml:space="preserve"> physical violence and psychological aggression) outweigh the prevalence of contact sexual violence by fourfold</w:t>
      </w:r>
      <w:r w:rsidR="00F45243" w:rsidRPr="00FF60D9">
        <w:rPr>
          <w:rStyle w:val="FootnoteReference"/>
          <w:rFonts w:ascii="Arial" w:hAnsi="Arial" w:cs="Arial"/>
          <w:color w:val="000000" w:themeColor="text1"/>
        </w:rPr>
        <w:footnoteReference w:id="67"/>
      </w:r>
      <w:r w:rsidR="00F45243" w:rsidRPr="00FF60D9">
        <w:rPr>
          <w:rFonts w:ascii="Arial" w:hAnsi="Arial" w:cs="Arial"/>
          <w:color w:val="000000" w:themeColor="text1"/>
        </w:rPr>
        <w:t>; the prevalence of physical violence and stalking behaviors alone nearly match the rates of contact sexual violence.</w:t>
      </w:r>
      <w:r w:rsidR="00F45243" w:rsidRPr="00FF60D9">
        <w:rPr>
          <w:rStyle w:val="FootnoteReference"/>
          <w:rFonts w:ascii="Arial" w:hAnsi="Arial" w:cs="Arial"/>
          <w:color w:val="000000" w:themeColor="text1"/>
        </w:rPr>
        <w:footnoteReference w:id="68"/>
      </w:r>
      <w:r w:rsidR="00F45243" w:rsidRPr="00FF60D9">
        <w:rPr>
          <w:rFonts w:ascii="Arial" w:hAnsi="Arial" w:cs="Arial"/>
          <w:color w:val="000000" w:themeColor="text1"/>
        </w:rPr>
        <w:t xml:space="preserve"> </w:t>
      </w:r>
      <w:r w:rsidR="00501386" w:rsidRPr="00FF60D9">
        <w:rPr>
          <w:rFonts w:ascii="Arial" w:hAnsi="Arial" w:cs="Arial"/>
          <w:color w:val="000000" w:themeColor="text1"/>
        </w:rPr>
        <w:t xml:space="preserve">The data from this report </w:t>
      </w:r>
      <w:r w:rsidR="00CD503C">
        <w:rPr>
          <w:rFonts w:ascii="Arial" w:hAnsi="Arial" w:cs="Arial"/>
          <w:color w:val="000000" w:themeColor="text1"/>
        </w:rPr>
        <w:t xml:space="preserve">reveals a number of things, most importantly, that just as many – if not more – </w:t>
      </w:r>
      <w:r w:rsidR="00E01E0C">
        <w:rPr>
          <w:rFonts w:ascii="Arial" w:hAnsi="Arial" w:cs="Arial"/>
          <w:color w:val="000000" w:themeColor="text1"/>
        </w:rPr>
        <w:t>military members</w:t>
      </w:r>
      <w:r w:rsidR="00CD503C">
        <w:rPr>
          <w:rFonts w:ascii="Arial" w:hAnsi="Arial" w:cs="Arial"/>
          <w:color w:val="000000" w:themeColor="text1"/>
        </w:rPr>
        <w:t xml:space="preserve"> are experiencing IPV than are SA, and these </w:t>
      </w:r>
      <w:r w:rsidR="00E01E0C">
        <w:rPr>
          <w:rFonts w:ascii="Arial" w:hAnsi="Arial" w:cs="Arial"/>
          <w:color w:val="000000" w:themeColor="text1"/>
        </w:rPr>
        <w:t>members are being left behind.</w:t>
      </w:r>
    </w:p>
    <w:p w14:paraId="1720CC0C" w14:textId="77777777" w:rsidR="00C30D45" w:rsidRPr="00FF60D9" w:rsidRDefault="00C30D45" w:rsidP="00FF60D9">
      <w:pPr>
        <w:spacing w:line="480" w:lineRule="auto"/>
        <w:ind w:left="720"/>
        <w:rPr>
          <w:rFonts w:ascii="Arial" w:hAnsi="Arial" w:cs="Arial"/>
          <w:color w:val="000000" w:themeColor="text1"/>
        </w:rPr>
      </w:pPr>
    </w:p>
    <w:p w14:paraId="1AE6B00B" w14:textId="08CCD50D" w:rsidR="008C25BD" w:rsidRPr="00FF60D9" w:rsidRDefault="00501386" w:rsidP="00FF60D9">
      <w:pPr>
        <w:spacing w:line="480" w:lineRule="auto"/>
        <w:ind w:left="720"/>
        <w:rPr>
          <w:rFonts w:ascii="Arial" w:hAnsi="Arial" w:cs="Arial"/>
          <w:color w:val="000000"/>
        </w:rPr>
      </w:pPr>
      <w:r w:rsidRPr="00FF60D9">
        <w:rPr>
          <w:rFonts w:ascii="Arial" w:hAnsi="Arial" w:cs="Arial"/>
          <w:color w:val="000000"/>
        </w:rPr>
        <w:t xml:space="preserve">The military’s Family Advocacy Program (FAP) is a </w:t>
      </w:r>
      <w:r w:rsidR="00F45243" w:rsidRPr="00FF60D9">
        <w:rPr>
          <w:rFonts w:ascii="Arial" w:hAnsi="Arial" w:cs="Arial"/>
          <w:color w:val="000000"/>
        </w:rPr>
        <w:t>DOD</w:t>
      </w:r>
      <w:r w:rsidR="00E87079" w:rsidRPr="00FF60D9">
        <w:rPr>
          <w:rFonts w:ascii="Arial" w:hAnsi="Arial" w:cs="Arial"/>
          <w:color w:val="000000"/>
        </w:rPr>
        <w:t xml:space="preserve"> </w:t>
      </w:r>
      <w:r w:rsidR="006D3890" w:rsidRPr="00FF60D9">
        <w:rPr>
          <w:rFonts w:ascii="Arial" w:hAnsi="Arial" w:cs="Arial"/>
          <w:color w:val="000000"/>
        </w:rPr>
        <w:t xml:space="preserve">program </w:t>
      </w:r>
      <w:r w:rsidRPr="00FF60D9">
        <w:rPr>
          <w:rFonts w:ascii="Arial" w:hAnsi="Arial" w:cs="Arial"/>
          <w:color w:val="000000"/>
        </w:rPr>
        <w:t>requiring each military service to provide social workers to handle cases of IPV, child abuse, and other domestic abuse situations, as well as implement training and awareness campaigns, among other</w:t>
      </w:r>
      <w:r w:rsidR="00E87079" w:rsidRPr="00FF60D9">
        <w:rPr>
          <w:rFonts w:ascii="Arial" w:hAnsi="Arial" w:cs="Arial"/>
          <w:color w:val="000000"/>
        </w:rPr>
        <w:t xml:space="preserve"> duties</w:t>
      </w:r>
      <w:r w:rsidRPr="00FF60D9">
        <w:rPr>
          <w:rFonts w:ascii="Arial" w:hAnsi="Arial" w:cs="Arial"/>
          <w:color w:val="000000"/>
        </w:rPr>
        <w:t>.</w:t>
      </w:r>
      <w:r w:rsidR="00E87079" w:rsidRPr="00FF60D9">
        <w:rPr>
          <w:rStyle w:val="FootnoteReference"/>
          <w:rFonts w:ascii="Arial" w:hAnsi="Arial" w:cs="Arial"/>
          <w:color w:val="000000"/>
        </w:rPr>
        <w:t xml:space="preserve"> </w:t>
      </w:r>
      <w:r w:rsidR="00E87079" w:rsidRPr="00FF60D9">
        <w:rPr>
          <w:rStyle w:val="FootnoteReference"/>
          <w:rFonts w:ascii="Arial" w:hAnsi="Arial" w:cs="Arial"/>
          <w:color w:val="000000"/>
        </w:rPr>
        <w:footnoteReference w:id="69"/>
      </w:r>
      <w:r w:rsidR="00E87079" w:rsidRPr="00FF60D9">
        <w:rPr>
          <w:rFonts w:ascii="Arial" w:hAnsi="Arial" w:cs="Arial"/>
          <w:color w:val="000000"/>
        </w:rPr>
        <w:t xml:space="preserve"> </w:t>
      </w:r>
      <w:r w:rsidRPr="00FF60D9">
        <w:rPr>
          <w:rFonts w:ascii="Arial" w:hAnsi="Arial" w:cs="Arial"/>
          <w:color w:val="000000"/>
        </w:rPr>
        <w:t xml:space="preserve"> </w:t>
      </w:r>
      <w:r w:rsidR="00E87079" w:rsidRPr="00FF60D9">
        <w:rPr>
          <w:rFonts w:ascii="Arial" w:hAnsi="Arial" w:cs="Arial"/>
          <w:color w:val="000000"/>
        </w:rPr>
        <w:t xml:space="preserve">Yearly, </w:t>
      </w:r>
      <w:r w:rsidRPr="00FF60D9">
        <w:rPr>
          <w:rFonts w:ascii="Arial" w:hAnsi="Arial" w:cs="Arial"/>
          <w:color w:val="000000"/>
        </w:rPr>
        <w:t xml:space="preserve">FAP releases its data through the Central Registry, which is then gathered </w:t>
      </w:r>
      <w:r w:rsidR="003D2139" w:rsidRPr="00FF60D9">
        <w:rPr>
          <w:rFonts w:ascii="Arial" w:hAnsi="Arial" w:cs="Arial"/>
          <w:color w:val="000000"/>
        </w:rPr>
        <w:t>into a DOD report (FAP Report).</w:t>
      </w:r>
      <w:r w:rsidR="003D2139" w:rsidRPr="00FF60D9">
        <w:rPr>
          <w:rStyle w:val="FootnoteReference"/>
          <w:rFonts w:ascii="Arial" w:hAnsi="Arial" w:cs="Arial"/>
          <w:color w:val="000000"/>
        </w:rPr>
        <w:footnoteReference w:id="70"/>
      </w:r>
      <w:r w:rsidR="003D2139" w:rsidRPr="00FF60D9">
        <w:rPr>
          <w:rFonts w:ascii="Arial" w:hAnsi="Arial" w:cs="Arial"/>
          <w:color w:val="000000"/>
        </w:rPr>
        <w:t xml:space="preserve"> </w:t>
      </w:r>
      <w:r w:rsidRPr="00FF60D9">
        <w:rPr>
          <w:rFonts w:ascii="Arial" w:hAnsi="Arial" w:cs="Arial"/>
          <w:color w:val="000000"/>
        </w:rPr>
        <w:t xml:space="preserve">This FAP Report, while specific and thorough, fails to capture the entire picture because it only reveals the cases that were reported to the FAP </w:t>
      </w:r>
      <w:r w:rsidRPr="00FF60D9">
        <w:rPr>
          <w:rFonts w:ascii="Arial" w:hAnsi="Arial" w:cs="Arial"/>
          <w:color w:val="000000"/>
        </w:rPr>
        <w:lastRenderedPageBreak/>
        <w:t>program as unrestricted reports.</w:t>
      </w:r>
      <w:r w:rsidR="00E01E0C" w:rsidRPr="00FF60D9">
        <w:rPr>
          <w:rFonts w:ascii="Arial" w:hAnsi="Arial" w:cs="Arial"/>
          <w:color w:val="000000"/>
        </w:rPr>
        <w:t xml:space="preserve"> </w:t>
      </w:r>
      <w:r w:rsidRPr="00FF60D9">
        <w:rPr>
          <w:rFonts w:ascii="Arial" w:hAnsi="Arial" w:cs="Arial"/>
          <w:color w:val="000000"/>
        </w:rPr>
        <w:t>Within the military, a victim may make an unrestricted report, which triggers command action, investigative action, and legal action, or a restricted report, which provides the victim the care they need, but remains otherwise</w:t>
      </w:r>
      <w:r w:rsidR="007A6BC5" w:rsidRPr="00FF60D9">
        <w:rPr>
          <w:rFonts w:ascii="Arial" w:hAnsi="Arial" w:cs="Arial"/>
          <w:color w:val="000000"/>
        </w:rPr>
        <w:t xml:space="preserve"> confidential</w:t>
      </w:r>
      <w:r w:rsidRPr="00FF60D9">
        <w:rPr>
          <w:rFonts w:ascii="Arial" w:hAnsi="Arial" w:cs="Arial"/>
          <w:color w:val="000000"/>
        </w:rPr>
        <w:t>.</w:t>
      </w:r>
      <w:r w:rsidR="003D2139" w:rsidRPr="00FF60D9">
        <w:rPr>
          <w:rStyle w:val="FootnoteReference"/>
          <w:rFonts w:ascii="Arial" w:hAnsi="Arial" w:cs="Arial"/>
          <w:color w:val="000000"/>
        </w:rPr>
        <w:footnoteReference w:id="71"/>
      </w:r>
      <w:r w:rsidRPr="00FF60D9">
        <w:rPr>
          <w:rFonts w:ascii="Arial" w:hAnsi="Arial" w:cs="Arial"/>
          <w:color w:val="000000"/>
        </w:rPr>
        <w:t xml:space="preserve"> </w:t>
      </w:r>
      <w:r w:rsidR="000C44A1" w:rsidRPr="00FF60D9">
        <w:rPr>
          <w:rFonts w:ascii="Arial" w:hAnsi="Arial" w:cs="Arial"/>
          <w:color w:val="000000"/>
        </w:rPr>
        <w:t>Furthermore, th</w:t>
      </w:r>
      <w:r w:rsidR="008C25BD" w:rsidRPr="00FF60D9">
        <w:rPr>
          <w:rFonts w:ascii="Arial" w:hAnsi="Arial" w:cs="Arial"/>
          <w:color w:val="000000"/>
        </w:rPr>
        <w:t xml:space="preserve">e </w:t>
      </w:r>
      <w:r w:rsidR="00E87079" w:rsidRPr="00FF60D9">
        <w:rPr>
          <w:rFonts w:ascii="Arial" w:hAnsi="Arial" w:cs="Arial"/>
          <w:color w:val="000000"/>
        </w:rPr>
        <w:t xml:space="preserve">yearly </w:t>
      </w:r>
      <w:r w:rsidR="008C25BD" w:rsidRPr="00FF60D9">
        <w:rPr>
          <w:rFonts w:ascii="Arial" w:hAnsi="Arial" w:cs="Arial"/>
          <w:color w:val="000000"/>
        </w:rPr>
        <w:t xml:space="preserve">FAP report does not include CG data, although the CG is required to </w:t>
      </w:r>
      <w:r w:rsidR="00E87079" w:rsidRPr="00FF60D9">
        <w:rPr>
          <w:rFonts w:ascii="Arial" w:hAnsi="Arial" w:cs="Arial"/>
          <w:color w:val="000000"/>
        </w:rPr>
        <w:t xml:space="preserve"> - </w:t>
      </w:r>
      <w:r w:rsidR="008C25BD" w:rsidRPr="00FF60D9">
        <w:rPr>
          <w:rFonts w:ascii="Arial" w:hAnsi="Arial" w:cs="Arial"/>
          <w:color w:val="000000"/>
        </w:rPr>
        <w:t>and does</w:t>
      </w:r>
      <w:r w:rsidR="00E87079" w:rsidRPr="00FF60D9">
        <w:rPr>
          <w:rFonts w:ascii="Arial" w:hAnsi="Arial" w:cs="Arial"/>
          <w:color w:val="000000"/>
        </w:rPr>
        <w:t xml:space="preserve"> -</w:t>
      </w:r>
      <w:r w:rsidR="008C25BD" w:rsidRPr="00FF60D9">
        <w:rPr>
          <w:rFonts w:ascii="Arial" w:hAnsi="Arial" w:cs="Arial"/>
          <w:color w:val="000000"/>
        </w:rPr>
        <w:t xml:space="preserve"> have a working FAP program.</w:t>
      </w:r>
      <w:r w:rsidR="00FA5585" w:rsidRPr="00FF60D9">
        <w:rPr>
          <w:rStyle w:val="FootnoteReference"/>
          <w:rFonts w:ascii="Arial" w:hAnsi="Arial" w:cs="Arial"/>
          <w:color w:val="000000"/>
        </w:rPr>
        <w:footnoteReference w:id="72"/>
      </w:r>
    </w:p>
    <w:p w14:paraId="78788BD4" w14:textId="77777777" w:rsidR="00C30D45" w:rsidRPr="00FF60D9" w:rsidRDefault="00C30D45" w:rsidP="00FF60D9">
      <w:pPr>
        <w:spacing w:line="480" w:lineRule="auto"/>
        <w:ind w:left="720"/>
        <w:rPr>
          <w:rFonts w:ascii="Arial" w:hAnsi="Arial" w:cs="Arial"/>
          <w:color w:val="000000"/>
        </w:rPr>
      </w:pPr>
    </w:p>
    <w:p w14:paraId="5897DAE8" w14:textId="53AE6D18" w:rsidR="00C0274C" w:rsidRPr="00E01E0C" w:rsidRDefault="008C25BD" w:rsidP="00E01E0C">
      <w:pPr>
        <w:spacing w:line="480" w:lineRule="auto"/>
        <w:ind w:left="720"/>
        <w:rPr>
          <w:rFonts w:ascii="Arial" w:hAnsi="Arial" w:cs="Arial"/>
          <w:color w:val="000000" w:themeColor="text1"/>
        </w:rPr>
      </w:pPr>
      <w:r w:rsidRPr="00FF60D9">
        <w:rPr>
          <w:rFonts w:ascii="Arial" w:hAnsi="Arial" w:cs="Arial"/>
          <w:color w:val="000000"/>
        </w:rPr>
        <w:t>During fiscal year 2017 in the military FAP programs,</w:t>
      </w:r>
      <w:r w:rsidR="00B95F54" w:rsidRPr="00FF60D9">
        <w:rPr>
          <w:rFonts w:ascii="Arial" w:hAnsi="Arial" w:cs="Arial"/>
          <w:color w:val="000000"/>
        </w:rPr>
        <w:t xml:space="preserve"> 11.2</w:t>
      </w:r>
      <w:r w:rsidRPr="00FF60D9">
        <w:rPr>
          <w:rFonts w:ascii="Arial" w:hAnsi="Arial" w:cs="Arial"/>
          <w:color w:val="000000"/>
        </w:rPr>
        <w:t xml:space="preserve"> out of every </w:t>
      </w:r>
      <w:r w:rsidR="00B95F54" w:rsidRPr="00FF60D9">
        <w:rPr>
          <w:rFonts w:ascii="Arial" w:hAnsi="Arial" w:cs="Arial"/>
          <w:color w:val="000000"/>
        </w:rPr>
        <w:t xml:space="preserve">1000 incidents of </w:t>
      </w:r>
      <w:r w:rsidRPr="00FF60D9">
        <w:rPr>
          <w:rFonts w:ascii="Arial" w:hAnsi="Arial" w:cs="Arial"/>
          <w:color w:val="000000"/>
        </w:rPr>
        <w:t>spouse</w:t>
      </w:r>
      <w:r w:rsidR="00B95F54" w:rsidRPr="00FF60D9">
        <w:rPr>
          <w:rFonts w:ascii="Arial" w:hAnsi="Arial" w:cs="Arial"/>
          <w:color w:val="000000"/>
        </w:rPr>
        <w:t xml:space="preserve"> abuse</w:t>
      </w:r>
      <w:r w:rsidR="00945AD8" w:rsidRPr="00FF60D9">
        <w:rPr>
          <w:rFonts w:ascii="Arial" w:hAnsi="Arial" w:cs="Arial"/>
          <w:color w:val="000000"/>
        </w:rPr>
        <w:t xml:space="preserve"> “met criteria” which is another way of saying the report was substantiated</w:t>
      </w:r>
      <w:r w:rsidR="00FA5585" w:rsidRPr="00FF60D9">
        <w:rPr>
          <w:rFonts w:ascii="Arial" w:hAnsi="Arial" w:cs="Arial"/>
          <w:color w:val="000000"/>
        </w:rPr>
        <w:t>.</w:t>
      </w:r>
      <w:r w:rsidR="00FA5585" w:rsidRPr="00FF60D9">
        <w:rPr>
          <w:rStyle w:val="FootnoteReference"/>
          <w:rFonts w:ascii="Arial" w:hAnsi="Arial" w:cs="Arial"/>
          <w:color w:val="000000"/>
        </w:rPr>
        <w:footnoteReference w:id="73"/>
      </w:r>
      <w:r w:rsidR="00FA5585" w:rsidRPr="00FF60D9">
        <w:rPr>
          <w:rFonts w:ascii="Arial" w:hAnsi="Arial" w:cs="Arial"/>
          <w:color w:val="000000"/>
        </w:rPr>
        <w:t xml:space="preserve"> </w:t>
      </w:r>
      <w:r w:rsidR="00B95F54" w:rsidRPr="00FF60D9">
        <w:rPr>
          <w:rFonts w:ascii="Arial" w:hAnsi="Arial" w:cs="Arial"/>
          <w:color w:val="000000" w:themeColor="text1"/>
        </w:rPr>
        <w:t>Of this group of victims, 53% were military members</w:t>
      </w:r>
      <w:r w:rsidR="00E01E0C">
        <w:rPr>
          <w:rFonts w:ascii="Arial" w:hAnsi="Arial" w:cs="Arial"/>
          <w:color w:val="000000" w:themeColor="text1"/>
        </w:rPr>
        <w:t>;</w:t>
      </w:r>
      <w:r w:rsidR="00FA5585" w:rsidRPr="00FF60D9">
        <w:rPr>
          <w:rStyle w:val="FootnoteReference"/>
          <w:rFonts w:ascii="Arial" w:hAnsi="Arial" w:cs="Arial"/>
          <w:color w:val="000000" w:themeColor="text1"/>
        </w:rPr>
        <w:footnoteReference w:id="74"/>
      </w:r>
      <w:r w:rsidR="00E01E0C">
        <w:rPr>
          <w:rFonts w:ascii="Arial" w:hAnsi="Arial" w:cs="Arial"/>
          <w:color w:val="000000" w:themeColor="text1"/>
        </w:rPr>
        <w:t xml:space="preserve"> o</w:t>
      </w:r>
      <w:r w:rsidR="00B95F54" w:rsidRPr="00FF60D9">
        <w:rPr>
          <w:rFonts w:ascii="Arial" w:hAnsi="Arial" w:cs="Arial"/>
          <w:color w:val="000000" w:themeColor="text1"/>
        </w:rPr>
        <w:t>f offenders, 57% were military members.</w:t>
      </w:r>
      <w:r w:rsidR="00FA5585" w:rsidRPr="00FF60D9">
        <w:rPr>
          <w:rStyle w:val="FootnoteReference"/>
          <w:rFonts w:ascii="Arial" w:hAnsi="Arial" w:cs="Arial"/>
          <w:color w:val="000000" w:themeColor="text1"/>
        </w:rPr>
        <w:footnoteReference w:id="75"/>
      </w:r>
      <w:r w:rsidR="00B95F54" w:rsidRPr="00FF60D9">
        <w:rPr>
          <w:rFonts w:ascii="Arial" w:hAnsi="Arial" w:cs="Arial"/>
          <w:color w:val="000000" w:themeColor="text1"/>
        </w:rPr>
        <w:t xml:space="preserve"> </w:t>
      </w:r>
      <w:r w:rsidR="00945AD8" w:rsidRPr="00FF60D9">
        <w:rPr>
          <w:rFonts w:ascii="Arial" w:hAnsi="Arial" w:cs="Arial"/>
          <w:color w:val="000000" w:themeColor="text1"/>
        </w:rPr>
        <w:t>These results show an overlap that is explained as being member-on-member violence.</w:t>
      </w:r>
      <w:r w:rsidR="00945AD8" w:rsidRPr="00FF60D9">
        <w:rPr>
          <w:rStyle w:val="FootnoteReference"/>
          <w:rFonts w:ascii="Arial" w:hAnsi="Arial" w:cs="Arial"/>
          <w:color w:val="000000" w:themeColor="text1"/>
        </w:rPr>
        <w:footnoteReference w:id="76"/>
      </w:r>
      <w:r w:rsidR="00945AD8" w:rsidRPr="00FF60D9">
        <w:rPr>
          <w:rFonts w:ascii="Arial" w:hAnsi="Arial" w:cs="Arial"/>
          <w:color w:val="000000" w:themeColor="text1"/>
        </w:rPr>
        <w:t xml:space="preserve"> During the same time, FAP measured 916 more incidents of IPV – differentiated from spouse abuse – 300 incidents of sexual abuse by an intimate partner, and 9 total domestic abuse fatalities.</w:t>
      </w:r>
      <w:r w:rsidR="00945AD8" w:rsidRPr="00FF60D9">
        <w:rPr>
          <w:rFonts w:ascii="Arial" w:hAnsi="Arial" w:cs="Arial"/>
          <w:color w:val="000000" w:themeColor="text1"/>
          <w:vertAlign w:val="superscript"/>
        </w:rPr>
        <w:footnoteReference w:id="77"/>
      </w:r>
      <w:r w:rsidR="00945AD8" w:rsidRPr="00FF60D9">
        <w:rPr>
          <w:rFonts w:ascii="Arial" w:hAnsi="Arial" w:cs="Arial"/>
          <w:color w:val="000000" w:themeColor="text1"/>
        </w:rPr>
        <w:t xml:space="preserve"> </w:t>
      </w:r>
    </w:p>
    <w:p w14:paraId="74D68859" w14:textId="77777777" w:rsidR="008B18FA" w:rsidRPr="00FF60D9" w:rsidRDefault="008B18FA" w:rsidP="00FF60D9">
      <w:pPr>
        <w:spacing w:line="480" w:lineRule="auto"/>
        <w:ind w:left="720"/>
        <w:rPr>
          <w:rFonts w:ascii="Arial" w:hAnsi="Arial" w:cs="Arial"/>
          <w:color w:val="000000" w:themeColor="text1"/>
        </w:rPr>
      </w:pPr>
    </w:p>
    <w:p w14:paraId="6539BF48" w14:textId="0D44A3B4" w:rsidR="008B18FA" w:rsidRPr="00FF60D9" w:rsidRDefault="008B18FA" w:rsidP="00FF60D9">
      <w:pPr>
        <w:spacing w:line="480" w:lineRule="auto"/>
        <w:ind w:left="720"/>
        <w:rPr>
          <w:rFonts w:ascii="Arial" w:hAnsi="Arial" w:cs="Arial"/>
          <w:color w:val="000000" w:themeColor="text1"/>
        </w:rPr>
      </w:pPr>
      <w:r w:rsidRPr="00FF60D9">
        <w:rPr>
          <w:rFonts w:ascii="Arial" w:hAnsi="Arial" w:cs="Arial"/>
          <w:color w:val="000000" w:themeColor="text1"/>
        </w:rPr>
        <w:t xml:space="preserve">Although these studies refer to the military in general and some exclude the CG’s population entirely, the CG has its own survey that can be taken into consideration, the </w:t>
      </w:r>
      <w:r w:rsidR="00945AD8" w:rsidRPr="00FF60D9">
        <w:rPr>
          <w:rFonts w:ascii="Arial" w:hAnsi="Arial" w:cs="Arial"/>
          <w:color w:val="000000" w:themeColor="text1"/>
        </w:rPr>
        <w:t xml:space="preserve">2013 </w:t>
      </w:r>
      <w:r w:rsidRPr="00FF60D9">
        <w:rPr>
          <w:rFonts w:ascii="Arial" w:hAnsi="Arial" w:cs="Arial"/>
          <w:color w:val="000000" w:themeColor="text1"/>
        </w:rPr>
        <w:t xml:space="preserve">State of Behavioral Health </w:t>
      </w:r>
      <w:r w:rsidR="00945AD8" w:rsidRPr="00FF60D9">
        <w:rPr>
          <w:rFonts w:ascii="Arial" w:hAnsi="Arial" w:cs="Arial"/>
          <w:color w:val="000000" w:themeColor="text1"/>
        </w:rPr>
        <w:t>S</w:t>
      </w:r>
      <w:r w:rsidRPr="00FF60D9">
        <w:rPr>
          <w:rFonts w:ascii="Arial" w:hAnsi="Arial" w:cs="Arial"/>
          <w:color w:val="000000" w:themeColor="text1"/>
        </w:rPr>
        <w:t>urvey</w:t>
      </w:r>
      <w:r w:rsidR="00945AD8" w:rsidRPr="00FF60D9">
        <w:rPr>
          <w:rFonts w:ascii="Arial" w:hAnsi="Arial" w:cs="Arial"/>
          <w:color w:val="000000" w:themeColor="text1"/>
        </w:rPr>
        <w:t xml:space="preserve"> (SOBH)</w:t>
      </w:r>
      <w:r w:rsidRPr="00FF60D9">
        <w:rPr>
          <w:rFonts w:ascii="Arial" w:hAnsi="Arial" w:cs="Arial"/>
          <w:color w:val="000000" w:themeColor="text1"/>
        </w:rPr>
        <w:t>.</w:t>
      </w:r>
      <w:r w:rsidR="004245F4" w:rsidRPr="00FF60D9">
        <w:rPr>
          <w:rStyle w:val="FootnoteReference"/>
          <w:rFonts w:ascii="Arial" w:hAnsi="Arial" w:cs="Arial"/>
          <w:color w:val="000000" w:themeColor="text1"/>
        </w:rPr>
        <w:footnoteReference w:id="78"/>
      </w:r>
      <w:r w:rsidRPr="00FF60D9">
        <w:rPr>
          <w:rFonts w:ascii="Arial" w:hAnsi="Arial" w:cs="Arial"/>
          <w:color w:val="000000" w:themeColor="text1"/>
        </w:rPr>
        <w:t xml:space="preserve"> This report questioned current members about a lifetime prevalence of sexual violence and physical violence; the physical violence definition is not qu</w:t>
      </w:r>
      <w:r w:rsidR="00945AD8" w:rsidRPr="00FF60D9">
        <w:rPr>
          <w:rFonts w:ascii="Arial" w:hAnsi="Arial" w:cs="Arial"/>
          <w:color w:val="000000" w:themeColor="text1"/>
        </w:rPr>
        <w:t>i</w:t>
      </w:r>
      <w:r w:rsidRPr="00FF60D9">
        <w:rPr>
          <w:rFonts w:ascii="Arial" w:hAnsi="Arial" w:cs="Arial"/>
          <w:color w:val="000000" w:themeColor="text1"/>
        </w:rPr>
        <w:t xml:space="preserve">te on point as it measures violence committed </w:t>
      </w:r>
      <w:r w:rsidR="004245F4" w:rsidRPr="00FF60D9">
        <w:rPr>
          <w:rFonts w:ascii="Arial" w:hAnsi="Arial" w:cs="Arial"/>
          <w:color w:val="000000" w:themeColor="text1"/>
        </w:rPr>
        <w:t xml:space="preserve">prior to joining the military </w:t>
      </w:r>
      <w:r w:rsidRPr="00FF60D9">
        <w:rPr>
          <w:rFonts w:ascii="Arial" w:hAnsi="Arial" w:cs="Arial"/>
          <w:color w:val="000000" w:themeColor="text1"/>
        </w:rPr>
        <w:t>by a person in an authority position</w:t>
      </w:r>
      <w:r w:rsidR="00945AD8" w:rsidRPr="00FF60D9">
        <w:rPr>
          <w:rFonts w:ascii="Arial" w:hAnsi="Arial" w:cs="Arial"/>
          <w:color w:val="000000" w:themeColor="text1"/>
        </w:rPr>
        <w:t xml:space="preserve"> – </w:t>
      </w:r>
      <w:r w:rsidRPr="00FF60D9">
        <w:rPr>
          <w:rFonts w:ascii="Arial" w:hAnsi="Arial" w:cs="Arial"/>
          <w:color w:val="000000" w:themeColor="text1"/>
        </w:rPr>
        <w:t>which could conceivably include parents, clergymen,</w:t>
      </w:r>
      <w:r w:rsidR="00945AD8" w:rsidRPr="00FF60D9">
        <w:rPr>
          <w:rFonts w:ascii="Arial" w:hAnsi="Arial" w:cs="Arial"/>
          <w:color w:val="000000" w:themeColor="text1"/>
        </w:rPr>
        <w:t xml:space="preserve"> or </w:t>
      </w:r>
      <w:r w:rsidR="004245F4" w:rsidRPr="00FF60D9">
        <w:rPr>
          <w:rFonts w:ascii="Arial" w:hAnsi="Arial" w:cs="Arial"/>
          <w:color w:val="000000" w:themeColor="text1"/>
        </w:rPr>
        <w:t>a boss</w:t>
      </w:r>
      <w:r w:rsidR="00945AD8" w:rsidRPr="00FF60D9">
        <w:rPr>
          <w:rFonts w:ascii="Arial" w:hAnsi="Arial" w:cs="Arial"/>
          <w:color w:val="000000" w:themeColor="text1"/>
        </w:rPr>
        <w:t xml:space="preserve"> – </w:t>
      </w:r>
      <w:r w:rsidR="004245F4" w:rsidRPr="00FF60D9">
        <w:rPr>
          <w:rFonts w:ascii="Arial" w:hAnsi="Arial" w:cs="Arial"/>
          <w:color w:val="000000" w:themeColor="text1"/>
        </w:rPr>
        <w:t xml:space="preserve"> or any</w:t>
      </w:r>
      <w:r w:rsidR="00945AD8" w:rsidRPr="00FF60D9">
        <w:rPr>
          <w:rFonts w:ascii="Arial" w:hAnsi="Arial" w:cs="Arial"/>
          <w:color w:val="000000" w:themeColor="text1"/>
        </w:rPr>
        <w:t xml:space="preserve"> other person</w:t>
      </w:r>
      <w:r w:rsidR="004245F4" w:rsidRPr="00FF60D9">
        <w:rPr>
          <w:rFonts w:ascii="Arial" w:hAnsi="Arial" w:cs="Arial"/>
          <w:color w:val="000000" w:themeColor="text1"/>
        </w:rPr>
        <w:t xml:space="preserve"> since joining the military.</w:t>
      </w:r>
      <w:r w:rsidR="004245F4" w:rsidRPr="00FF60D9">
        <w:rPr>
          <w:rStyle w:val="FootnoteReference"/>
          <w:rFonts w:ascii="Arial" w:hAnsi="Arial" w:cs="Arial"/>
          <w:color w:val="000000" w:themeColor="text1"/>
        </w:rPr>
        <w:footnoteReference w:id="79"/>
      </w:r>
      <w:r w:rsidR="004245F4" w:rsidRPr="00FF60D9">
        <w:rPr>
          <w:rFonts w:ascii="Arial" w:hAnsi="Arial" w:cs="Arial"/>
          <w:color w:val="000000" w:themeColor="text1"/>
        </w:rPr>
        <w:t xml:space="preserve"> This definition does not cover other aspects of IPV and does not specify whether the perpetrator </w:t>
      </w:r>
      <w:r w:rsidR="00945AD8" w:rsidRPr="00FF60D9">
        <w:rPr>
          <w:rFonts w:ascii="Arial" w:hAnsi="Arial" w:cs="Arial"/>
          <w:color w:val="000000" w:themeColor="text1"/>
        </w:rPr>
        <w:t xml:space="preserve">was </w:t>
      </w:r>
      <w:r w:rsidR="004245F4" w:rsidRPr="00FF60D9">
        <w:rPr>
          <w:rFonts w:ascii="Arial" w:hAnsi="Arial" w:cs="Arial"/>
          <w:color w:val="000000" w:themeColor="text1"/>
        </w:rPr>
        <w:t>a current or former intimate partner.</w:t>
      </w:r>
      <w:r w:rsidR="004245F4" w:rsidRPr="00FF60D9">
        <w:rPr>
          <w:rStyle w:val="FootnoteReference"/>
          <w:rFonts w:ascii="Arial" w:hAnsi="Arial" w:cs="Arial"/>
          <w:color w:val="000000" w:themeColor="text1"/>
        </w:rPr>
        <w:footnoteReference w:id="80"/>
      </w:r>
      <w:r w:rsidR="004245F4" w:rsidRPr="00FF60D9">
        <w:rPr>
          <w:rFonts w:ascii="Arial" w:hAnsi="Arial" w:cs="Arial"/>
          <w:color w:val="000000" w:themeColor="text1"/>
        </w:rPr>
        <w:t xml:space="preserve"> These numbers are important, however, because they are paired with questions about a history of sexual abuse, and the rates are used to show a likelihood of future Post Traumatic Stress (PTS), rates of poly-victimization, less sleep, higher rates of anger, and a the likelihood of a shorter overall career in the CG.</w:t>
      </w:r>
      <w:r w:rsidR="004245F4" w:rsidRPr="00FF60D9">
        <w:rPr>
          <w:rStyle w:val="FootnoteReference"/>
          <w:rFonts w:ascii="Arial" w:hAnsi="Arial" w:cs="Arial"/>
          <w:color w:val="000000" w:themeColor="text1"/>
        </w:rPr>
        <w:footnoteReference w:id="81"/>
      </w:r>
      <w:r w:rsidR="004245F4" w:rsidRPr="00FF60D9">
        <w:rPr>
          <w:rFonts w:ascii="Arial" w:hAnsi="Arial" w:cs="Arial"/>
          <w:color w:val="000000" w:themeColor="text1"/>
        </w:rPr>
        <w:t xml:space="preserve"> From this survey, 12% of members report a history of SA, while the same percentage reports a history of physical violence.</w:t>
      </w:r>
      <w:r w:rsidR="004245F4" w:rsidRPr="00FF60D9">
        <w:rPr>
          <w:rStyle w:val="FootnoteReference"/>
          <w:rFonts w:ascii="Arial" w:hAnsi="Arial" w:cs="Arial"/>
          <w:color w:val="000000" w:themeColor="text1"/>
        </w:rPr>
        <w:footnoteReference w:id="82"/>
      </w:r>
      <w:r w:rsidR="00492244">
        <w:rPr>
          <w:rFonts w:ascii="Arial" w:hAnsi="Arial" w:cs="Arial"/>
          <w:color w:val="000000" w:themeColor="text1"/>
        </w:rPr>
        <w:t xml:space="preserve"> </w:t>
      </w:r>
      <w:r w:rsidR="004245F4" w:rsidRPr="00FF60D9">
        <w:rPr>
          <w:rFonts w:ascii="Arial" w:hAnsi="Arial" w:cs="Arial"/>
          <w:color w:val="000000" w:themeColor="text1"/>
        </w:rPr>
        <w:t>Moreover, a person who has experienced one type of violence is 40% more likely to experience the other – a high rate of poly-victimization.</w:t>
      </w:r>
      <w:r w:rsidR="004245F4" w:rsidRPr="00FF60D9">
        <w:rPr>
          <w:rStyle w:val="FootnoteReference"/>
          <w:rFonts w:ascii="Arial" w:hAnsi="Arial" w:cs="Arial"/>
          <w:color w:val="000000" w:themeColor="text1"/>
        </w:rPr>
        <w:footnoteReference w:id="83"/>
      </w:r>
      <w:r w:rsidR="004245F4" w:rsidRPr="00FF60D9">
        <w:rPr>
          <w:rFonts w:ascii="Arial" w:hAnsi="Arial" w:cs="Arial"/>
          <w:color w:val="000000" w:themeColor="text1"/>
        </w:rPr>
        <w:t xml:space="preserve"> While the SOBH </w:t>
      </w:r>
      <w:r w:rsidR="004245F4" w:rsidRPr="00FF60D9">
        <w:rPr>
          <w:rFonts w:ascii="Arial" w:hAnsi="Arial" w:cs="Arial"/>
          <w:color w:val="000000" w:themeColor="text1"/>
        </w:rPr>
        <w:lastRenderedPageBreak/>
        <w:t xml:space="preserve">survey does not provide direct rates of IPV within the service, it does show that the CG is aware of the detrimental effects </w:t>
      </w:r>
      <w:r w:rsidR="00945AD8" w:rsidRPr="00FF60D9">
        <w:rPr>
          <w:rFonts w:ascii="Arial" w:hAnsi="Arial" w:cs="Arial"/>
          <w:color w:val="000000" w:themeColor="text1"/>
        </w:rPr>
        <w:t xml:space="preserve">that  violence against women has </w:t>
      </w:r>
      <w:r w:rsidR="004245F4" w:rsidRPr="00FF60D9">
        <w:rPr>
          <w:rFonts w:ascii="Arial" w:hAnsi="Arial" w:cs="Arial"/>
          <w:color w:val="000000" w:themeColor="text1"/>
        </w:rPr>
        <w:t>on survivors within its workforce</w:t>
      </w:r>
      <w:r w:rsidR="00945AD8" w:rsidRPr="00FF60D9">
        <w:rPr>
          <w:rFonts w:ascii="Arial" w:hAnsi="Arial" w:cs="Arial"/>
          <w:color w:val="000000" w:themeColor="text1"/>
        </w:rPr>
        <w:t>.</w:t>
      </w:r>
    </w:p>
    <w:p w14:paraId="1B48B0FA" w14:textId="77777777" w:rsidR="00542F6F" w:rsidRPr="00FF60D9" w:rsidRDefault="00542F6F" w:rsidP="00FF60D9">
      <w:pPr>
        <w:spacing w:line="480" w:lineRule="auto"/>
        <w:rPr>
          <w:rFonts w:ascii="Arial" w:hAnsi="Arial" w:cs="Arial"/>
        </w:rPr>
      </w:pPr>
    </w:p>
    <w:p w14:paraId="7BD1A31C" w14:textId="452D0FF4" w:rsidR="00A053E6" w:rsidRPr="00FF60D9" w:rsidRDefault="00DB6F75" w:rsidP="00FF60D9">
      <w:pPr>
        <w:pStyle w:val="ListParagraph"/>
        <w:numPr>
          <w:ilvl w:val="0"/>
          <w:numId w:val="9"/>
        </w:numPr>
        <w:spacing w:line="480" w:lineRule="auto"/>
        <w:rPr>
          <w:rFonts w:ascii="Arial" w:hAnsi="Arial" w:cs="Arial"/>
          <w:b/>
        </w:rPr>
      </w:pPr>
      <w:r w:rsidRPr="00FF60D9">
        <w:rPr>
          <w:rFonts w:ascii="Arial" w:hAnsi="Arial" w:cs="Arial"/>
          <w:b/>
        </w:rPr>
        <w:t>Overlap in Circumstances Among Survivors</w:t>
      </w:r>
    </w:p>
    <w:p w14:paraId="6040C84C" w14:textId="09144283" w:rsidR="00C0274C" w:rsidRPr="00FF60D9" w:rsidRDefault="00C0274C" w:rsidP="00FF60D9">
      <w:pPr>
        <w:spacing w:line="480" w:lineRule="auto"/>
        <w:ind w:left="720"/>
        <w:rPr>
          <w:rFonts w:ascii="Arial" w:hAnsi="Arial" w:cs="Arial"/>
          <w:color w:val="000000" w:themeColor="text1"/>
        </w:rPr>
      </w:pPr>
      <w:r w:rsidRPr="00FF60D9">
        <w:rPr>
          <w:rFonts w:ascii="Arial" w:hAnsi="Arial" w:cs="Arial"/>
          <w:color w:val="000000" w:themeColor="text1"/>
        </w:rPr>
        <w:t>Survivors of SA and IPV are similar in many ways beyond that they</w:t>
      </w:r>
      <w:r w:rsidR="00D27745" w:rsidRPr="00FF60D9">
        <w:rPr>
          <w:rFonts w:ascii="Arial" w:hAnsi="Arial" w:cs="Arial"/>
          <w:color w:val="000000" w:themeColor="text1"/>
        </w:rPr>
        <w:t xml:space="preserve"> have both experienced</w:t>
      </w:r>
      <w:r w:rsidRPr="00FF60D9">
        <w:rPr>
          <w:rFonts w:ascii="Arial" w:hAnsi="Arial" w:cs="Arial"/>
          <w:color w:val="000000" w:themeColor="text1"/>
        </w:rPr>
        <w:t xml:space="preserve"> violence against women. </w:t>
      </w:r>
      <w:r w:rsidR="00D27745" w:rsidRPr="00FF60D9">
        <w:rPr>
          <w:rFonts w:ascii="Arial" w:hAnsi="Arial" w:cs="Arial"/>
          <w:color w:val="000000" w:themeColor="text1"/>
        </w:rPr>
        <w:t>First</w:t>
      </w:r>
      <w:r w:rsidRPr="00FF60D9">
        <w:rPr>
          <w:rFonts w:ascii="Arial" w:hAnsi="Arial" w:cs="Arial"/>
          <w:color w:val="000000" w:themeColor="text1"/>
        </w:rPr>
        <w:t xml:space="preserve">, both crimes are vastly underreported, both often being called </w:t>
      </w:r>
      <w:r w:rsidR="00492244">
        <w:rPr>
          <w:rFonts w:ascii="Arial" w:hAnsi="Arial" w:cs="Arial"/>
          <w:color w:val="000000" w:themeColor="text1"/>
        </w:rPr>
        <w:t>some</w:t>
      </w:r>
      <w:r w:rsidR="00D27745" w:rsidRPr="00FF60D9">
        <w:rPr>
          <w:rFonts w:ascii="Arial" w:hAnsi="Arial" w:cs="Arial"/>
          <w:color w:val="000000" w:themeColor="text1"/>
        </w:rPr>
        <w:t xml:space="preserve"> of the </w:t>
      </w:r>
      <w:r w:rsidRPr="00FF60D9">
        <w:rPr>
          <w:rFonts w:ascii="Arial" w:hAnsi="Arial" w:cs="Arial"/>
          <w:color w:val="000000" w:themeColor="text1"/>
        </w:rPr>
        <w:t>most underreported crime</w:t>
      </w:r>
      <w:r w:rsidR="00D27745" w:rsidRPr="00FF60D9">
        <w:rPr>
          <w:rFonts w:ascii="Arial" w:hAnsi="Arial" w:cs="Arial"/>
          <w:color w:val="000000" w:themeColor="text1"/>
        </w:rPr>
        <w:t>s</w:t>
      </w:r>
      <w:r w:rsidRPr="00FF60D9">
        <w:rPr>
          <w:rFonts w:ascii="Arial" w:hAnsi="Arial" w:cs="Arial"/>
          <w:color w:val="000000" w:themeColor="text1"/>
        </w:rPr>
        <w:t xml:space="preserve"> in America.</w:t>
      </w:r>
      <w:r w:rsidRPr="00FF60D9">
        <w:rPr>
          <w:rStyle w:val="FootnoteReference"/>
          <w:rFonts w:ascii="Arial" w:hAnsi="Arial" w:cs="Arial"/>
          <w:color w:val="000000" w:themeColor="text1"/>
        </w:rPr>
        <w:footnoteReference w:id="84"/>
      </w:r>
      <w:r w:rsidRPr="00FF60D9">
        <w:rPr>
          <w:rFonts w:ascii="Arial" w:hAnsi="Arial" w:cs="Arial"/>
          <w:color w:val="000000" w:themeColor="text1"/>
        </w:rPr>
        <w:t xml:space="preserve"> Additionally, they’re both crimes that often result in psychological trauma to the survivor, sometimes resulting in missed work days, depression and anxiety, alcoholism and other destructive coping mechanisms, long-term PTSD, and even auto-immune disorders.</w:t>
      </w:r>
      <w:r w:rsidRPr="00FF60D9">
        <w:rPr>
          <w:rStyle w:val="FootnoteReference"/>
          <w:rFonts w:ascii="Arial" w:hAnsi="Arial" w:cs="Arial"/>
          <w:color w:val="000000" w:themeColor="text1"/>
        </w:rPr>
        <w:footnoteReference w:id="85"/>
      </w:r>
      <w:r w:rsidR="005B3DEB" w:rsidRPr="00FF60D9">
        <w:rPr>
          <w:rFonts w:ascii="Arial" w:hAnsi="Arial" w:cs="Arial"/>
          <w:color w:val="000000" w:themeColor="text1"/>
        </w:rPr>
        <w:t xml:space="preserve"> Survivors of each often face disbelief by law enforcement and the public, the</w:t>
      </w:r>
      <w:r w:rsidR="00D27745" w:rsidRPr="00FF60D9">
        <w:rPr>
          <w:rFonts w:ascii="Arial" w:hAnsi="Arial" w:cs="Arial"/>
          <w:color w:val="000000" w:themeColor="text1"/>
        </w:rPr>
        <w:t>y</w:t>
      </w:r>
      <w:r w:rsidR="005B3DEB" w:rsidRPr="00FF60D9">
        <w:rPr>
          <w:rFonts w:ascii="Arial" w:hAnsi="Arial" w:cs="Arial"/>
          <w:color w:val="000000" w:themeColor="text1"/>
        </w:rPr>
        <w:t xml:space="preserve"> face retaliation by the accused, and the</w:t>
      </w:r>
      <w:r w:rsidR="00A61453" w:rsidRPr="00FF60D9">
        <w:rPr>
          <w:rFonts w:ascii="Arial" w:hAnsi="Arial" w:cs="Arial"/>
          <w:color w:val="000000" w:themeColor="text1"/>
        </w:rPr>
        <w:t>y</w:t>
      </w:r>
      <w:r w:rsidR="005B3DEB" w:rsidRPr="00FF60D9">
        <w:rPr>
          <w:rFonts w:ascii="Arial" w:hAnsi="Arial" w:cs="Arial"/>
          <w:color w:val="000000" w:themeColor="text1"/>
        </w:rPr>
        <w:t xml:space="preserve"> can be chastised in their careers and stigmatized for reporting.</w:t>
      </w:r>
      <w:r w:rsidR="005B3DEB" w:rsidRPr="00FF60D9">
        <w:rPr>
          <w:rStyle w:val="FootnoteReference"/>
          <w:rFonts w:ascii="Arial" w:hAnsi="Arial" w:cs="Arial"/>
          <w:color w:val="000000" w:themeColor="text1"/>
        </w:rPr>
        <w:footnoteReference w:id="86"/>
      </w:r>
    </w:p>
    <w:p w14:paraId="1F90F9AF" w14:textId="77777777" w:rsidR="00C0274C" w:rsidRPr="00FF60D9" w:rsidRDefault="00C0274C" w:rsidP="00FF60D9">
      <w:pPr>
        <w:spacing w:line="480" w:lineRule="auto"/>
        <w:ind w:left="720"/>
        <w:rPr>
          <w:rFonts w:ascii="Arial" w:hAnsi="Arial" w:cs="Arial"/>
          <w:color w:val="000000" w:themeColor="text1"/>
        </w:rPr>
      </w:pPr>
    </w:p>
    <w:p w14:paraId="78D41023" w14:textId="70CDEDA4" w:rsidR="00A34F38" w:rsidRPr="00FF60D9" w:rsidRDefault="005B3DEB" w:rsidP="00FF60D9">
      <w:pPr>
        <w:spacing w:line="480" w:lineRule="auto"/>
        <w:ind w:left="720"/>
        <w:rPr>
          <w:rFonts w:ascii="Arial" w:hAnsi="Arial" w:cs="Arial"/>
          <w:color w:val="000000" w:themeColor="text1"/>
        </w:rPr>
      </w:pPr>
      <w:r w:rsidRPr="00FF60D9">
        <w:rPr>
          <w:rFonts w:ascii="Arial" w:hAnsi="Arial" w:cs="Arial"/>
          <w:color w:val="000000" w:themeColor="text1"/>
        </w:rPr>
        <w:t>In addition to similarities suffered by survivors, survivors often experience both types of violence, sometimes by the same offender.</w:t>
      </w:r>
      <w:r w:rsidR="00CF62BE" w:rsidRPr="00FF60D9">
        <w:rPr>
          <w:rStyle w:val="FootnoteReference"/>
          <w:rFonts w:ascii="Arial" w:hAnsi="Arial" w:cs="Arial"/>
          <w:color w:val="000000" w:themeColor="text1"/>
        </w:rPr>
        <w:footnoteReference w:id="87"/>
      </w:r>
      <w:r w:rsidRPr="00FF60D9">
        <w:rPr>
          <w:rFonts w:ascii="Arial" w:hAnsi="Arial" w:cs="Arial"/>
          <w:color w:val="000000" w:themeColor="text1"/>
        </w:rPr>
        <w:t xml:space="preserve"> Among </w:t>
      </w:r>
      <w:r w:rsidR="00B671D1" w:rsidRPr="00FF60D9">
        <w:rPr>
          <w:rFonts w:ascii="Arial" w:hAnsi="Arial" w:cs="Arial"/>
          <w:color w:val="000000" w:themeColor="text1"/>
        </w:rPr>
        <w:t xml:space="preserve">women in the general population, 20% have experienced contact sexual violence by an </w:t>
      </w:r>
      <w:r w:rsidR="00B671D1" w:rsidRPr="00FF60D9">
        <w:rPr>
          <w:rFonts w:ascii="Arial" w:hAnsi="Arial" w:cs="Arial"/>
          <w:color w:val="000000" w:themeColor="text1"/>
        </w:rPr>
        <w:lastRenderedPageBreak/>
        <w:t>intimate partner in their lifetime; only slightly less than the 26.7% who have experienced the same by a non-intimate partner. When looking at occurrences within the twelve months prior to the survey. 2.8% of women had experienced contact sexual violence by an intimate partner, compared with only 2.5% who had experienced the same from a non-intimate par</w:t>
      </w:r>
      <w:r w:rsidRPr="00FF60D9">
        <w:rPr>
          <w:rFonts w:ascii="Arial" w:hAnsi="Arial" w:cs="Arial"/>
          <w:color w:val="000000" w:themeColor="text1"/>
        </w:rPr>
        <w:t>tner.</w:t>
      </w:r>
      <w:r w:rsidRPr="00FF60D9">
        <w:rPr>
          <w:rStyle w:val="FootnoteReference"/>
          <w:rFonts w:ascii="Arial" w:hAnsi="Arial" w:cs="Arial"/>
          <w:color w:val="000000" w:themeColor="text1"/>
        </w:rPr>
        <w:footnoteReference w:id="88"/>
      </w:r>
      <w:r w:rsidRPr="00FF60D9">
        <w:rPr>
          <w:rFonts w:ascii="Arial" w:hAnsi="Arial" w:cs="Arial"/>
          <w:color w:val="000000" w:themeColor="text1"/>
        </w:rPr>
        <w:t xml:space="preserve"> </w:t>
      </w:r>
      <w:r w:rsidR="00B671D1" w:rsidRPr="00FF60D9">
        <w:rPr>
          <w:rFonts w:ascii="Arial" w:hAnsi="Arial" w:cs="Arial"/>
          <w:color w:val="000000" w:themeColor="text1"/>
        </w:rPr>
        <w:t xml:space="preserve">Among active duty women, the </w:t>
      </w:r>
      <w:r w:rsidR="00C30D45" w:rsidRPr="00FF60D9">
        <w:rPr>
          <w:rFonts w:ascii="Arial" w:hAnsi="Arial" w:cs="Arial"/>
          <w:color w:val="000000" w:themeColor="text1"/>
        </w:rPr>
        <w:t>twelve-month</w:t>
      </w:r>
      <w:r w:rsidR="00B671D1" w:rsidRPr="00FF60D9">
        <w:rPr>
          <w:rFonts w:ascii="Arial" w:hAnsi="Arial" w:cs="Arial"/>
          <w:color w:val="000000" w:themeColor="text1"/>
        </w:rPr>
        <w:t xml:space="preserve"> occurrence rates are similar at 2.3% committed by intimate partners and 2.9% by non-intimate partners.</w:t>
      </w:r>
      <w:r w:rsidRPr="00FF60D9">
        <w:rPr>
          <w:rStyle w:val="FootnoteReference"/>
          <w:rFonts w:ascii="Arial" w:hAnsi="Arial" w:cs="Arial"/>
          <w:color w:val="000000" w:themeColor="text1"/>
        </w:rPr>
        <w:footnoteReference w:id="89"/>
      </w:r>
      <w:r w:rsidR="00B671D1" w:rsidRPr="00FF60D9">
        <w:rPr>
          <w:rFonts w:ascii="Arial" w:hAnsi="Arial" w:cs="Arial"/>
          <w:color w:val="000000" w:themeColor="text1"/>
        </w:rPr>
        <w:t xml:space="preserve"> </w:t>
      </w:r>
      <w:r w:rsidRPr="00FF60D9">
        <w:rPr>
          <w:rFonts w:ascii="Arial" w:hAnsi="Arial" w:cs="Arial"/>
          <w:color w:val="000000" w:themeColor="text1"/>
        </w:rPr>
        <w:t>Furthermore, b</w:t>
      </w:r>
      <w:r w:rsidR="002A2733" w:rsidRPr="00FF60D9">
        <w:rPr>
          <w:rFonts w:ascii="Arial" w:hAnsi="Arial" w:cs="Arial"/>
          <w:color w:val="000000" w:themeColor="text1"/>
        </w:rPr>
        <w:t>roken down by the type of perpetrators, 45.8% of contact sexual violence reports are committed by current or former intimate partners, as well as 45.6% of rapes.</w:t>
      </w:r>
      <w:r w:rsidRPr="00FF60D9">
        <w:rPr>
          <w:rStyle w:val="FootnoteReference"/>
          <w:rFonts w:ascii="Arial" w:hAnsi="Arial" w:cs="Arial"/>
          <w:color w:val="000000" w:themeColor="text1"/>
        </w:rPr>
        <w:footnoteReference w:id="90"/>
      </w:r>
      <w:r w:rsidR="002A2733" w:rsidRPr="00FF60D9">
        <w:rPr>
          <w:rFonts w:ascii="Arial" w:hAnsi="Arial" w:cs="Arial"/>
          <w:color w:val="000000" w:themeColor="text1"/>
        </w:rPr>
        <w:t xml:space="preserve"> </w:t>
      </w:r>
    </w:p>
    <w:p w14:paraId="6022929B" w14:textId="77777777" w:rsidR="005B3DEB" w:rsidRPr="00FF60D9" w:rsidRDefault="005B3DEB" w:rsidP="00FF60D9">
      <w:pPr>
        <w:spacing w:line="480" w:lineRule="auto"/>
        <w:ind w:left="720"/>
        <w:rPr>
          <w:rFonts w:ascii="Arial" w:hAnsi="Arial" w:cs="Arial"/>
          <w:color w:val="000000" w:themeColor="text1"/>
        </w:rPr>
      </w:pPr>
    </w:p>
    <w:p w14:paraId="44D0CC1C" w14:textId="23C655ED" w:rsidR="005E2284" w:rsidRPr="00FF60D9" w:rsidRDefault="005E2284" w:rsidP="00FF60D9">
      <w:pPr>
        <w:spacing w:line="480" w:lineRule="auto"/>
        <w:ind w:left="720"/>
        <w:rPr>
          <w:rFonts w:ascii="Arial" w:hAnsi="Arial" w:cs="Arial"/>
          <w:color w:val="000000" w:themeColor="text1"/>
        </w:rPr>
      </w:pPr>
      <w:r w:rsidRPr="00FF60D9">
        <w:rPr>
          <w:rFonts w:ascii="Arial" w:hAnsi="Arial" w:cs="Arial"/>
          <w:color w:val="000000" w:themeColor="text1"/>
        </w:rPr>
        <w:t>These numbers show that there is an inextricable link be</w:t>
      </w:r>
      <w:r w:rsidR="00117A78" w:rsidRPr="00FF60D9">
        <w:rPr>
          <w:rFonts w:ascii="Arial" w:hAnsi="Arial" w:cs="Arial"/>
          <w:color w:val="000000" w:themeColor="text1"/>
        </w:rPr>
        <w:t>tween IPV and sexual violence, but t</w:t>
      </w:r>
      <w:r w:rsidRPr="00FF60D9">
        <w:rPr>
          <w:rFonts w:ascii="Arial" w:hAnsi="Arial" w:cs="Arial"/>
          <w:color w:val="000000" w:themeColor="text1"/>
        </w:rPr>
        <w:t xml:space="preserve">he ways in which survivors categorize their experiences at the time of occurrence or reporting (if they report) are not clear. Would most women report the events separately as SA for the sexual aspect and </w:t>
      </w:r>
      <w:r w:rsidR="00117A78" w:rsidRPr="00FF60D9">
        <w:rPr>
          <w:rFonts w:ascii="Arial" w:hAnsi="Arial" w:cs="Arial"/>
          <w:color w:val="000000" w:themeColor="text1"/>
        </w:rPr>
        <w:t xml:space="preserve">IPV for the physical, controlling, and psychological aspects? Should they be required to if there are separate systems of resources and justice? What if the SA aspect is the most damaging, hardest to prove, and most hurtful to re-live in testimony, but the resources offered to a victim of </w:t>
      </w:r>
      <w:r w:rsidR="00A61453" w:rsidRPr="00FF60D9">
        <w:rPr>
          <w:rFonts w:ascii="Arial" w:hAnsi="Arial" w:cs="Arial"/>
          <w:color w:val="000000" w:themeColor="text1"/>
        </w:rPr>
        <w:t>SA</w:t>
      </w:r>
      <w:r w:rsidR="00117A78" w:rsidRPr="00FF60D9">
        <w:rPr>
          <w:rFonts w:ascii="Arial" w:hAnsi="Arial" w:cs="Arial"/>
          <w:color w:val="000000" w:themeColor="text1"/>
        </w:rPr>
        <w:t xml:space="preserve"> are better than those offered to a survivor of IPV? Would a survivor even consider SA by a spouse a criminal SA at all? </w:t>
      </w:r>
    </w:p>
    <w:p w14:paraId="26340D86" w14:textId="77777777" w:rsidR="00117A78" w:rsidRPr="00FF60D9" w:rsidRDefault="00117A78" w:rsidP="00FF60D9">
      <w:pPr>
        <w:spacing w:line="480" w:lineRule="auto"/>
        <w:ind w:left="720"/>
        <w:rPr>
          <w:rFonts w:ascii="Arial" w:hAnsi="Arial" w:cs="Arial"/>
          <w:color w:val="000000" w:themeColor="text1"/>
        </w:rPr>
      </w:pPr>
    </w:p>
    <w:p w14:paraId="5647DF3F" w14:textId="5CA7504E" w:rsidR="005E2284" w:rsidRDefault="00117A78" w:rsidP="00FF60D9">
      <w:pPr>
        <w:spacing w:line="480" w:lineRule="auto"/>
        <w:ind w:left="720"/>
        <w:rPr>
          <w:rFonts w:ascii="Arial" w:hAnsi="Arial" w:cs="Arial"/>
          <w:color w:val="000000" w:themeColor="text1"/>
        </w:rPr>
      </w:pPr>
      <w:r w:rsidRPr="00FF60D9">
        <w:rPr>
          <w:rFonts w:ascii="Arial" w:hAnsi="Arial" w:cs="Arial"/>
          <w:color w:val="000000" w:themeColor="text1"/>
        </w:rPr>
        <w:lastRenderedPageBreak/>
        <w:t>Take marital rape, for instance, which was criminalized</w:t>
      </w:r>
      <w:r w:rsidR="00A61453" w:rsidRPr="00FF60D9">
        <w:rPr>
          <w:rFonts w:ascii="Arial" w:hAnsi="Arial" w:cs="Arial"/>
          <w:color w:val="000000" w:themeColor="text1"/>
        </w:rPr>
        <w:t xml:space="preserve"> to some degree</w:t>
      </w:r>
      <w:r w:rsidRPr="00FF60D9">
        <w:rPr>
          <w:rFonts w:ascii="Arial" w:hAnsi="Arial" w:cs="Arial"/>
          <w:color w:val="000000" w:themeColor="text1"/>
        </w:rPr>
        <w:t xml:space="preserve"> by all of the states by 1993.</w:t>
      </w:r>
      <w:r w:rsidRPr="00FF60D9">
        <w:rPr>
          <w:rStyle w:val="FootnoteReference"/>
          <w:rFonts w:ascii="Arial" w:hAnsi="Arial" w:cs="Arial"/>
          <w:color w:val="000000" w:themeColor="text1"/>
        </w:rPr>
        <w:footnoteReference w:id="91"/>
      </w:r>
      <w:r w:rsidR="00A61453" w:rsidRPr="00FF60D9">
        <w:rPr>
          <w:rFonts w:ascii="Arial" w:hAnsi="Arial" w:cs="Arial"/>
          <w:color w:val="000000" w:themeColor="text1"/>
        </w:rPr>
        <w:t xml:space="preserve"> </w:t>
      </w:r>
      <w:r w:rsidRPr="00FF60D9">
        <w:rPr>
          <w:rFonts w:ascii="Arial" w:hAnsi="Arial" w:cs="Arial"/>
          <w:color w:val="000000" w:themeColor="text1"/>
        </w:rPr>
        <w:t>In an embarrassing, 19 year lag, it was not until the 2012 revision of the Uniform Code of Military Justice</w:t>
      </w:r>
      <w:r w:rsidR="0050396C" w:rsidRPr="00FF60D9">
        <w:rPr>
          <w:rFonts w:ascii="Arial" w:hAnsi="Arial" w:cs="Arial"/>
          <w:color w:val="000000" w:themeColor="text1"/>
        </w:rPr>
        <w:t xml:space="preserve"> (UCMJ)</w:t>
      </w:r>
      <w:r w:rsidRPr="00FF60D9">
        <w:rPr>
          <w:rFonts w:ascii="Arial" w:hAnsi="Arial" w:cs="Arial"/>
          <w:color w:val="000000" w:themeColor="text1"/>
        </w:rPr>
        <w:t xml:space="preserve"> – only six short years ago </w:t>
      </w:r>
      <w:r w:rsidR="00A61453" w:rsidRPr="00FF60D9">
        <w:rPr>
          <w:rFonts w:ascii="Arial" w:hAnsi="Arial" w:cs="Arial"/>
          <w:color w:val="000000" w:themeColor="text1"/>
        </w:rPr>
        <w:t>–</w:t>
      </w:r>
      <w:r w:rsidRPr="00FF60D9">
        <w:rPr>
          <w:rFonts w:ascii="Arial" w:hAnsi="Arial" w:cs="Arial"/>
          <w:color w:val="000000" w:themeColor="text1"/>
        </w:rPr>
        <w:t xml:space="preserve"> that the military</w:t>
      </w:r>
      <w:r w:rsidR="00E97331" w:rsidRPr="00FF60D9">
        <w:rPr>
          <w:rFonts w:ascii="Arial" w:hAnsi="Arial" w:cs="Arial"/>
          <w:color w:val="000000" w:themeColor="text1"/>
        </w:rPr>
        <w:t xml:space="preserve"> completely criminalized </w:t>
      </w:r>
      <w:r w:rsidRPr="00FF60D9">
        <w:rPr>
          <w:rFonts w:ascii="Arial" w:hAnsi="Arial" w:cs="Arial"/>
          <w:color w:val="000000" w:themeColor="text1"/>
        </w:rPr>
        <w:t>marital rape.</w:t>
      </w:r>
      <w:r w:rsidRPr="00FF60D9">
        <w:rPr>
          <w:rFonts w:ascii="Arial" w:hAnsi="Arial" w:cs="Arial"/>
          <w:color w:val="000000" w:themeColor="text1"/>
          <w:vertAlign w:val="superscript"/>
        </w:rPr>
        <w:footnoteReference w:id="92"/>
      </w:r>
      <w:r w:rsidRPr="00FF60D9">
        <w:rPr>
          <w:rFonts w:ascii="Arial" w:hAnsi="Arial" w:cs="Arial"/>
          <w:color w:val="000000" w:themeColor="text1"/>
        </w:rPr>
        <w:t xml:space="preserve"> </w:t>
      </w:r>
      <w:r w:rsidR="00A223B5" w:rsidRPr="00FF60D9">
        <w:rPr>
          <w:rFonts w:ascii="Arial" w:hAnsi="Arial" w:cs="Arial"/>
          <w:color w:val="000000" w:themeColor="text1"/>
        </w:rPr>
        <w:t>At one point, rape was an offense committed by a man “with a female not his wife”</w:t>
      </w:r>
      <w:r w:rsidR="00A223B5" w:rsidRPr="00FF60D9">
        <w:rPr>
          <w:rStyle w:val="FootnoteReference"/>
          <w:rFonts w:ascii="Arial" w:hAnsi="Arial" w:cs="Arial"/>
          <w:color w:val="000000" w:themeColor="text1"/>
        </w:rPr>
        <w:footnoteReference w:id="93"/>
      </w:r>
      <w:r w:rsidR="00A223B5" w:rsidRPr="00FF60D9">
        <w:rPr>
          <w:rFonts w:ascii="Arial" w:hAnsi="Arial" w:cs="Arial"/>
          <w:color w:val="000000" w:themeColor="text1"/>
        </w:rPr>
        <w:t xml:space="preserve"> until revis</w:t>
      </w:r>
      <w:r w:rsidR="00A61453" w:rsidRPr="00FF60D9">
        <w:rPr>
          <w:rFonts w:ascii="Arial" w:hAnsi="Arial" w:cs="Arial"/>
          <w:color w:val="000000" w:themeColor="text1"/>
        </w:rPr>
        <w:t>ion</w:t>
      </w:r>
      <w:r w:rsidR="00A223B5" w:rsidRPr="00FF60D9">
        <w:rPr>
          <w:rFonts w:ascii="Arial" w:hAnsi="Arial" w:cs="Arial"/>
          <w:color w:val="000000" w:themeColor="text1"/>
        </w:rPr>
        <w:t xml:space="preserve"> in 1993</w:t>
      </w:r>
      <w:r w:rsidR="00A61453" w:rsidRPr="00FF60D9">
        <w:rPr>
          <w:rFonts w:ascii="Arial" w:hAnsi="Arial" w:cs="Arial"/>
          <w:color w:val="000000" w:themeColor="text1"/>
        </w:rPr>
        <w:t>.</w:t>
      </w:r>
      <w:r w:rsidR="00A223B5" w:rsidRPr="00FF60D9">
        <w:rPr>
          <w:rFonts w:ascii="Arial" w:hAnsi="Arial" w:cs="Arial"/>
          <w:color w:val="000000" w:themeColor="text1"/>
        </w:rPr>
        <w:t xml:space="preserve"> </w:t>
      </w:r>
      <w:r w:rsidR="00A61453" w:rsidRPr="00FF60D9">
        <w:rPr>
          <w:rFonts w:ascii="Arial" w:hAnsi="Arial" w:cs="Arial"/>
          <w:color w:val="000000" w:themeColor="text1"/>
        </w:rPr>
        <w:t>Even still</w:t>
      </w:r>
      <w:r w:rsidR="00A223B5" w:rsidRPr="00FF60D9">
        <w:rPr>
          <w:rFonts w:ascii="Arial" w:hAnsi="Arial" w:cs="Arial"/>
          <w:color w:val="000000" w:themeColor="text1"/>
        </w:rPr>
        <w:t>, the statute</w:t>
      </w:r>
      <w:r w:rsidR="00A61453" w:rsidRPr="00FF60D9">
        <w:rPr>
          <w:rFonts w:ascii="Arial" w:hAnsi="Arial" w:cs="Arial"/>
          <w:color w:val="000000" w:themeColor="text1"/>
        </w:rPr>
        <w:t xml:space="preserve"> </w:t>
      </w:r>
      <w:r w:rsidR="00A223B5" w:rsidRPr="00FF60D9">
        <w:rPr>
          <w:rFonts w:ascii="Arial" w:hAnsi="Arial" w:cs="Arial"/>
          <w:color w:val="000000" w:themeColor="text1"/>
        </w:rPr>
        <w:t xml:space="preserve">provided loopholes for spousal rape to be justified through the inference of consent (subjective to the perpetrator) </w:t>
      </w:r>
      <w:r w:rsidR="00E97331" w:rsidRPr="00FF60D9">
        <w:rPr>
          <w:rFonts w:ascii="Arial" w:hAnsi="Arial" w:cs="Arial"/>
          <w:color w:val="000000" w:themeColor="text1"/>
        </w:rPr>
        <w:t xml:space="preserve">and </w:t>
      </w:r>
      <w:r w:rsidR="00A223B5" w:rsidRPr="00FF60D9">
        <w:rPr>
          <w:rFonts w:ascii="Arial" w:hAnsi="Arial" w:cs="Arial"/>
          <w:color w:val="000000" w:themeColor="text1"/>
        </w:rPr>
        <w:t>by listing marriage as an affirmative defense as recently as the 2008 revision which was eliminated only in 2012.</w:t>
      </w:r>
      <w:r w:rsidR="00A223B5" w:rsidRPr="00FF60D9">
        <w:rPr>
          <w:rStyle w:val="FootnoteReference"/>
          <w:rFonts w:ascii="Arial" w:hAnsi="Arial" w:cs="Arial"/>
          <w:color w:val="000000" w:themeColor="text1"/>
        </w:rPr>
        <w:footnoteReference w:id="94"/>
      </w:r>
      <w:r w:rsidR="00A223B5" w:rsidRPr="00FF60D9">
        <w:rPr>
          <w:rFonts w:ascii="Arial" w:hAnsi="Arial" w:cs="Arial"/>
          <w:color w:val="000000" w:themeColor="text1"/>
        </w:rPr>
        <w:t xml:space="preserve"> </w:t>
      </w:r>
      <w:r w:rsidR="00EF5BD3" w:rsidRPr="00FF60D9">
        <w:rPr>
          <w:rFonts w:ascii="Arial" w:hAnsi="Arial" w:cs="Arial"/>
          <w:color w:val="000000" w:themeColor="text1"/>
        </w:rPr>
        <w:t>This unfortunate state of the UCMJ</w:t>
      </w:r>
      <w:r w:rsidR="00ED430F" w:rsidRPr="00FF60D9">
        <w:rPr>
          <w:rFonts w:ascii="Arial" w:hAnsi="Arial" w:cs="Arial"/>
          <w:color w:val="000000" w:themeColor="text1"/>
        </w:rPr>
        <w:t xml:space="preserve"> </w:t>
      </w:r>
      <w:r w:rsidR="00A61453" w:rsidRPr="00FF60D9">
        <w:rPr>
          <w:rFonts w:ascii="Arial" w:hAnsi="Arial" w:cs="Arial"/>
          <w:color w:val="000000" w:themeColor="text1"/>
        </w:rPr>
        <w:t xml:space="preserve">and the fact that old text lingers online </w:t>
      </w:r>
      <w:r w:rsidR="00ED430F" w:rsidRPr="00FF60D9">
        <w:rPr>
          <w:rFonts w:ascii="Arial" w:hAnsi="Arial" w:cs="Arial"/>
          <w:color w:val="000000" w:themeColor="text1"/>
        </w:rPr>
        <w:t>may still serve to compound</w:t>
      </w:r>
      <w:r w:rsidR="00EF5BD3" w:rsidRPr="00FF60D9">
        <w:rPr>
          <w:rFonts w:ascii="Arial" w:hAnsi="Arial" w:cs="Arial"/>
          <w:color w:val="000000" w:themeColor="text1"/>
        </w:rPr>
        <w:t xml:space="preserve"> the shame, fear, and other barriers that survivors of sexual assault and abuse suffer that bar them from reporting their circumstances</w:t>
      </w:r>
      <w:r w:rsidR="00A61453" w:rsidRPr="00FF60D9">
        <w:rPr>
          <w:rFonts w:ascii="Arial" w:hAnsi="Arial" w:cs="Arial"/>
          <w:color w:val="000000" w:themeColor="text1"/>
        </w:rPr>
        <w:t xml:space="preserve"> to the fullest extent.</w:t>
      </w:r>
      <w:r w:rsidR="00A61453" w:rsidRPr="00FF60D9">
        <w:rPr>
          <w:rStyle w:val="FootnoteReference"/>
          <w:rFonts w:ascii="Arial" w:hAnsi="Arial" w:cs="Arial"/>
          <w:color w:val="000000" w:themeColor="text1"/>
        </w:rPr>
        <w:footnoteReference w:id="95"/>
      </w:r>
    </w:p>
    <w:p w14:paraId="19C0ACD6" w14:textId="0FB34D49" w:rsidR="000E0156" w:rsidRDefault="000E0156" w:rsidP="00FF60D9">
      <w:pPr>
        <w:spacing w:line="480" w:lineRule="auto"/>
        <w:ind w:left="720"/>
        <w:rPr>
          <w:rFonts w:ascii="Arial" w:hAnsi="Arial" w:cs="Arial"/>
          <w:color w:val="000000" w:themeColor="text1"/>
        </w:rPr>
      </w:pPr>
    </w:p>
    <w:p w14:paraId="6CA89E31" w14:textId="6EB7259D" w:rsidR="000E0156" w:rsidRPr="00FF60D9" w:rsidRDefault="000E0156" w:rsidP="00FF60D9">
      <w:pPr>
        <w:spacing w:line="480" w:lineRule="auto"/>
        <w:ind w:left="720"/>
        <w:rPr>
          <w:rFonts w:ascii="Arial" w:hAnsi="Arial" w:cs="Arial"/>
          <w:color w:val="000000" w:themeColor="text1"/>
        </w:rPr>
      </w:pPr>
      <w:r>
        <w:rPr>
          <w:rFonts w:ascii="Arial" w:hAnsi="Arial" w:cs="Arial"/>
          <w:color w:val="000000" w:themeColor="text1"/>
        </w:rPr>
        <w:t>The CG’s strong and rapid response to wide-spread publicity about SA has resulted in a cultural shift that views SA as the crime that it is and works to create a service that is “inhospitable” to both SA and “the behaviors that enable it”.</w:t>
      </w:r>
      <w:r>
        <w:rPr>
          <w:rStyle w:val="FootnoteReference"/>
          <w:rFonts w:ascii="Arial" w:hAnsi="Arial" w:cs="Arial"/>
          <w:color w:val="000000" w:themeColor="text1"/>
        </w:rPr>
        <w:footnoteReference w:id="96"/>
      </w:r>
      <w:r>
        <w:rPr>
          <w:rFonts w:ascii="Arial" w:hAnsi="Arial" w:cs="Arial"/>
          <w:color w:val="000000" w:themeColor="text1"/>
        </w:rPr>
        <w:t xml:space="preserve"> Meanwhile, </w:t>
      </w:r>
      <w:r>
        <w:rPr>
          <w:rFonts w:ascii="Arial" w:hAnsi="Arial" w:cs="Arial"/>
        </w:rPr>
        <w:t xml:space="preserve">the CG’s primary official language addressing IPV is the FAP manual </w:t>
      </w:r>
      <w:r>
        <w:rPr>
          <w:rFonts w:ascii="Arial" w:hAnsi="Arial" w:cs="Arial"/>
        </w:rPr>
        <w:lastRenderedPageBreak/>
        <w:t>that focuses mainly on</w:t>
      </w:r>
      <w:r w:rsidRPr="00FF60D9">
        <w:rPr>
          <w:rFonts w:ascii="Arial" w:hAnsi="Arial" w:cs="Arial"/>
        </w:rPr>
        <w:t xml:space="preserve"> </w:t>
      </w:r>
      <w:r w:rsidRPr="00FF60D9">
        <w:rPr>
          <w:rFonts w:ascii="Arial" w:hAnsi="Arial" w:cs="Arial"/>
          <w:i/>
        </w:rPr>
        <w:t>family related</w:t>
      </w:r>
      <w:r w:rsidRPr="00FF60D9">
        <w:rPr>
          <w:rFonts w:ascii="Arial" w:hAnsi="Arial" w:cs="Arial"/>
        </w:rPr>
        <w:t xml:space="preserve"> </w:t>
      </w:r>
      <w:r>
        <w:rPr>
          <w:rFonts w:ascii="Arial" w:hAnsi="Arial" w:cs="Arial"/>
        </w:rPr>
        <w:t>prevention and response measures which take place in confidential settings with social workers or the chaplain instead of promoting the same sort of zero-tolerance culture inhospitable to the crime</w:t>
      </w:r>
      <w:r w:rsidRPr="00FF60D9">
        <w:rPr>
          <w:rFonts w:ascii="Arial" w:hAnsi="Arial" w:cs="Arial"/>
        </w:rPr>
        <w:t>.</w:t>
      </w:r>
      <w:r w:rsidRPr="00FF60D9">
        <w:rPr>
          <w:rStyle w:val="FootnoteReference"/>
          <w:rFonts w:ascii="Arial" w:hAnsi="Arial" w:cs="Arial"/>
        </w:rPr>
        <w:footnoteReference w:id="97"/>
      </w:r>
      <w:r w:rsidRPr="00FF60D9">
        <w:rPr>
          <w:rFonts w:ascii="Arial" w:hAnsi="Arial" w:cs="Arial"/>
        </w:rPr>
        <w:t xml:space="preserve"> </w:t>
      </w:r>
    </w:p>
    <w:p w14:paraId="05B6AF4A" w14:textId="77777777" w:rsidR="00A34F38" w:rsidRPr="00FF60D9" w:rsidRDefault="00A34F38" w:rsidP="00FF60D9">
      <w:pPr>
        <w:spacing w:line="480" w:lineRule="auto"/>
        <w:ind w:left="360"/>
        <w:rPr>
          <w:rFonts w:ascii="Arial" w:hAnsi="Arial" w:cs="Arial"/>
        </w:rPr>
      </w:pPr>
    </w:p>
    <w:p w14:paraId="3AF371C5" w14:textId="31F5577B" w:rsidR="0050396C" w:rsidRPr="00FF60D9" w:rsidRDefault="00ED430F" w:rsidP="00FF60D9">
      <w:pPr>
        <w:pStyle w:val="ListParagraph"/>
        <w:numPr>
          <w:ilvl w:val="0"/>
          <w:numId w:val="9"/>
        </w:numPr>
        <w:spacing w:line="480" w:lineRule="auto"/>
        <w:rPr>
          <w:rFonts w:ascii="Arial" w:hAnsi="Arial" w:cs="Arial"/>
          <w:b/>
        </w:rPr>
      </w:pPr>
      <w:r w:rsidRPr="00FF60D9">
        <w:rPr>
          <w:rFonts w:ascii="Arial" w:hAnsi="Arial" w:cs="Arial"/>
          <w:b/>
        </w:rPr>
        <w:t>Laws and Programs</w:t>
      </w:r>
    </w:p>
    <w:p w14:paraId="0A8F2E71" w14:textId="2C29C687" w:rsidR="00ED430F" w:rsidRPr="00FF60D9" w:rsidRDefault="00ED430F" w:rsidP="00FF60D9">
      <w:pPr>
        <w:pStyle w:val="ListParagraph"/>
        <w:numPr>
          <w:ilvl w:val="1"/>
          <w:numId w:val="9"/>
        </w:numPr>
        <w:spacing w:line="480" w:lineRule="auto"/>
        <w:rPr>
          <w:rFonts w:ascii="Arial" w:hAnsi="Arial" w:cs="Arial"/>
          <w:b/>
        </w:rPr>
      </w:pPr>
      <w:r w:rsidRPr="00FF60D9">
        <w:rPr>
          <w:rFonts w:ascii="Arial" w:hAnsi="Arial" w:cs="Arial"/>
          <w:b/>
        </w:rPr>
        <w:t>Uniform Code of Military Justice</w:t>
      </w:r>
    </w:p>
    <w:p w14:paraId="675DFEF6" w14:textId="62860B16" w:rsidR="00A34F38" w:rsidRPr="00FF60D9" w:rsidRDefault="0050396C" w:rsidP="00FF60D9">
      <w:pPr>
        <w:pStyle w:val="ListParagraph"/>
        <w:shd w:val="clear" w:color="auto" w:fill="FFFFFF"/>
        <w:spacing w:line="480" w:lineRule="auto"/>
        <w:rPr>
          <w:rFonts w:ascii="Arial" w:hAnsi="Arial" w:cs="Arial"/>
        </w:rPr>
      </w:pPr>
      <w:r w:rsidRPr="00FF60D9">
        <w:rPr>
          <w:rFonts w:ascii="Arial" w:hAnsi="Arial" w:cs="Arial"/>
        </w:rPr>
        <w:t>The UCMJ has jurisdiction over all active duty members of the CG, and reservists while on orders.</w:t>
      </w:r>
      <w:r w:rsidRPr="00FF60D9">
        <w:rPr>
          <w:rStyle w:val="FootnoteReference"/>
          <w:rFonts w:ascii="Arial" w:hAnsi="Arial" w:cs="Arial"/>
        </w:rPr>
        <w:t xml:space="preserve"> </w:t>
      </w:r>
      <w:r w:rsidRPr="00FF60D9">
        <w:rPr>
          <w:rStyle w:val="FootnoteReference"/>
          <w:rFonts w:ascii="Arial" w:hAnsi="Arial" w:cs="Arial"/>
        </w:rPr>
        <w:footnoteReference w:id="98"/>
      </w:r>
      <w:r w:rsidRPr="00FF60D9">
        <w:rPr>
          <w:rFonts w:ascii="Arial" w:hAnsi="Arial" w:cs="Arial"/>
        </w:rPr>
        <w:t xml:space="preserve"> Under the UCMJ, </w:t>
      </w:r>
      <w:r w:rsidR="00117A78" w:rsidRPr="00FF60D9">
        <w:rPr>
          <w:rFonts w:ascii="Arial" w:hAnsi="Arial" w:cs="Arial"/>
        </w:rPr>
        <w:t xml:space="preserve">incidences of IPV </w:t>
      </w:r>
      <w:r w:rsidRPr="00FF60D9">
        <w:rPr>
          <w:rFonts w:ascii="Arial" w:hAnsi="Arial" w:cs="Arial"/>
        </w:rPr>
        <w:t>could be charged as</w:t>
      </w:r>
      <w:r w:rsidR="00117A78" w:rsidRPr="00FF60D9">
        <w:rPr>
          <w:rFonts w:ascii="Arial" w:hAnsi="Arial" w:cs="Arial"/>
        </w:rPr>
        <w:t xml:space="preserve"> criminal behavior under Art. 128 </w:t>
      </w:r>
      <w:r w:rsidRPr="00FF60D9">
        <w:rPr>
          <w:rFonts w:ascii="Arial" w:hAnsi="Arial" w:cs="Arial"/>
        </w:rPr>
        <w:t>(</w:t>
      </w:r>
      <w:r w:rsidR="00117A78" w:rsidRPr="00FF60D9">
        <w:rPr>
          <w:rFonts w:ascii="Arial" w:hAnsi="Arial" w:cs="Arial"/>
        </w:rPr>
        <w:t>Assault</w:t>
      </w:r>
      <w:r w:rsidRPr="00FF60D9">
        <w:rPr>
          <w:rFonts w:ascii="Arial" w:hAnsi="Arial" w:cs="Arial"/>
        </w:rPr>
        <w:t>), Art. 134 (C</w:t>
      </w:r>
      <w:r w:rsidR="00117A78" w:rsidRPr="00FF60D9">
        <w:rPr>
          <w:rFonts w:ascii="Arial" w:hAnsi="Arial" w:cs="Arial"/>
        </w:rPr>
        <w:t>hild Endangerment), Art. 134 (Threat Communication), and Art 120a</w:t>
      </w:r>
      <w:r w:rsidRPr="00FF60D9">
        <w:rPr>
          <w:rFonts w:ascii="Arial" w:hAnsi="Arial" w:cs="Arial"/>
        </w:rPr>
        <w:t xml:space="preserve"> (</w:t>
      </w:r>
      <w:r w:rsidR="00117A78" w:rsidRPr="00FF60D9">
        <w:rPr>
          <w:rFonts w:ascii="Arial" w:hAnsi="Arial" w:cs="Arial"/>
        </w:rPr>
        <w:t>Stalking</w:t>
      </w:r>
      <w:r w:rsidRPr="00FF60D9">
        <w:rPr>
          <w:rFonts w:ascii="Arial" w:hAnsi="Arial" w:cs="Arial"/>
        </w:rPr>
        <w:t>).</w:t>
      </w:r>
      <w:r w:rsidR="00117A78" w:rsidRPr="00FF60D9">
        <w:rPr>
          <w:rStyle w:val="FootnoteReference"/>
          <w:rFonts w:ascii="Arial" w:hAnsi="Arial" w:cs="Arial"/>
        </w:rPr>
        <w:footnoteReference w:id="99"/>
      </w:r>
      <w:r w:rsidRPr="00FF60D9">
        <w:rPr>
          <w:rFonts w:ascii="Arial" w:hAnsi="Arial" w:cs="Arial"/>
        </w:rPr>
        <w:t xml:space="preserve"> The UCMJ prosecutes sexual assaults under Article 120 and its sub-parts, which include other sorts of potential domestic abuse such as child sexual assault.</w:t>
      </w:r>
      <w:r w:rsidRPr="00FF60D9">
        <w:rPr>
          <w:rStyle w:val="FootnoteReference"/>
          <w:rFonts w:ascii="Arial" w:hAnsi="Arial" w:cs="Arial"/>
        </w:rPr>
        <w:footnoteReference w:id="100"/>
      </w:r>
      <w:r w:rsidRPr="00FF60D9">
        <w:rPr>
          <w:rFonts w:ascii="Arial" w:hAnsi="Arial" w:cs="Arial"/>
        </w:rPr>
        <w:t xml:space="preserve"> Although the CG may only prosecute its own members because of jurisdictional issues, the Coast Guard Investigative Service (CGIS) will likely investigate a crime committed by the civilian spouse of a CG member and refer the case to civilian authorities.</w:t>
      </w:r>
      <w:r w:rsidRPr="00FF60D9">
        <w:rPr>
          <w:rStyle w:val="FootnoteReference"/>
          <w:rFonts w:ascii="Arial" w:hAnsi="Arial" w:cs="Arial"/>
        </w:rPr>
        <w:footnoteReference w:id="101"/>
      </w:r>
      <w:r w:rsidRPr="00FF60D9">
        <w:rPr>
          <w:rFonts w:ascii="Arial" w:hAnsi="Arial" w:cs="Arial"/>
        </w:rPr>
        <w:t xml:space="preserve"> </w:t>
      </w:r>
    </w:p>
    <w:p w14:paraId="087764AD" w14:textId="77777777" w:rsidR="00A34F38" w:rsidRPr="00FF60D9" w:rsidRDefault="00A34F38" w:rsidP="00FF60D9">
      <w:pPr>
        <w:spacing w:line="480" w:lineRule="auto"/>
        <w:ind w:left="720"/>
        <w:rPr>
          <w:rFonts w:ascii="Arial" w:hAnsi="Arial" w:cs="Arial"/>
        </w:rPr>
      </w:pPr>
    </w:p>
    <w:p w14:paraId="5642A540" w14:textId="36C09097" w:rsidR="0050396C" w:rsidRPr="00FF60D9" w:rsidRDefault="00A053E6" w:rsidP="00FF60D9">
      <w:pPr>
        <w:pStyle w:val="ListParagraph"/>
        <w:numPr>
          <w:ilvl w:val="1"/>
          <w:numId w:val="9"/>
        </w:numPr>
        <w:spacing w:line="480" w:lineRule="auto"/>
        <w:rPr>
          <w:rFonts w:ascii="Arial" w:hAnsi="Arial" w:cs="Arial"/>
          <w:b/>
        </w:rPr>
      </w:pPr>
      <w:r w:rsidRPr="00FF60D9">
        <w:rPr>
          <w:rFonts w:ascii="Arial" w:hAnsi="Arial" w:cs="Arial"/>
          <w:b/>
        </w:rPr>
        <w:t>Sexual Assault Prevention and Response Program</w:t>
      </w:r>
    </w:p>
    <w:p w14:paraId="6D6762BD" w14:textId="5B1FBD5C" w:rsidR="00747E5D" w:rsidRDefault="00752A00" w:rsidP="00FF60D9">
      <w:pPr>
        <w:spacing w:line="480" w:lineRule="auto"/>
        <w:ind w:left="720"/>
        <w:rPr>
          <w:rFonts w:ascii="Arial" w:hAnsi="Arial" w:cs="Arial"/>
        </w:rPr>
      </w:pPr>
      <w:r w:rsidRPr="00FF60D9">
        <w:rPr>
          <w:rFonts w:ascii="Arial" w:hAnsi="Arial" w:cs="Arial"/>
        </w:rPr>
        <w:t>The CG’s</w:t>
      </w:r>
      <w:r w:rsidR="00747E5D" w:rsidRPr="00FF60D9">
        <w:rPr>
          <w:rFonts w:ascii="Arial" w:hAnsi="Arial" w:cs="Arial"/>
        </w:rPr>
        <w:t xml:space="preserve"> Sexual Assault Prevention and Response (SAPR) Program became what it is today around 2012, when the UCMJ was revised to completely </w:t>
      </w:r>
      <w:r w:rsidR="00747E5D" w:rsidRPr="00FF60D9">
        <w:rPr>
          <w:rFonts w:ascii="Arial" w:hAnsi="Arial" w:cs="Arial"/>
        </w:rPr>
        <w:lastRenderedPageBreak/>
        <w:t>criminalize spousal rape, and when “The Invisible War” came out.</w:t>
      </w:r>
      <w:r w:rsidR="00747E5D" w:rsidRPr="00FF60D9">
        <w:rPr>
          <w:rStyle w:val="FootnoteReference"/>
          <w:rFonts w:ascii="Arial" w:hAnsi="Arial" w:cs="Arial"/>
        </w:rPr>
        <w:footnoteReference w:id="102"/>
      </w:r>
      <w:r w:rsidR="00747E5D" w:rsidRPr="00FF60D9">
        <w:rPr>
          <w:rFonts w:ascii="Arial" w:hAnsi="Arial" w:cs="Arial"/>
        </w:rPr>
        <w:t xml:space="preserve"> </w:t>
      </w:r>
      <w:r w:rsidR="00747E5D" w:rsidRPr="00FF60D9">
        <w:rPr>
          <w:rFonts w:ascii="Arial" w:hAnsi="Arial" w:cs="Arial"/>
          <w:color w:val="000000" w:themeColor="text1"/>
        </w:rPr>
        <w:t>Beginning in 2012, the CG</w:t>
      </w:r>
      <w:r w:rsidRPr="00FF60D9">
        <w:rPr>
          <w:rFonts w:ascii="Arial" w:hAnsi="Arial" w:cs="Arial"/>
          <w:color w:val="000000" w:themeColor="text1"/>
        </w:rPr>
        <w:t xml:space="preserve"> gave</w:t>
      </w:r>
      <w:r w:rsidR="00747E5D" w:rsidRPr="00FF60D9">
        <w:rPr>
          <w:rFonts w:ascii="Arial" w:hAnsi="Arial" w:cs="Arial"/>
          <w:color w:val="000000" w:themeColor="text1"/>
        </w:rPr>
        <w:t xml:space="preserve"> its annual, mandatory SAPR training </w:t>
      </w:r>
      <w:r w:rsidRPr="00FF60D9">
        <w:rPr>
          <w:rFonts w:ascii="Arial" w:hAnsi="Arial" w:cs="Arial"/>
          <w:color w:val="000000" w:themeColor="text1"/>
        </w:rPr>
        <w:t xml:space="preserve">a boost </w:t>
      </w:r>
      <w:r w:rsidR="00747E5D" w:rsidRPr="00FF60D9">
        <w:rPr>
          <w:rFonts w:ascii="Arial" w:hAnsi="Arial" w:cs="Arial"/>
          <w:color w:val="000000" w:themeColor="text1"/>
        </w:rPr>
        <w:t xml:space="preserve">and created a comprehensive four year strategic plan for moving forward to a service free of sexual assault. </w:t>
      </w:r>
      <w:r w:rsidR="002C600E" w:rsidRPr="00FF60D9">
        <w:rPr>
          <w:rFonts w:ascii="Arial" w:hAnsi="Arial" w:cs="Arial"/>
        </w:rPr>
        <w:t xml:space="preserve">“The Coast Guard will be distinguished as the </w:t>
      </w:r>
      <w:r w:rsidRPr="00FF60D9">
        <w:rPr>
          <w:rFonts w:ascii="Arial" w:hAnsi="Arial" w:cs="Arial"/>
        </w:rPr>
        <w:t>‘</w:t>
      </w:r>
      <w:r w:rsidR="002C600E" w:rsidRPr="00FF60D9">
        <w:rPr>
          <w:rFonts w:ascii="Arial" w:hAnsi="Arial" w:cs="Arial"/>
        </w:rPr>
        <w:t>Service of Choice</w:t>
      </w:r>
      <w:r w:rsidRPr="00FF60D9">
        <w:rPr>
          <w:rFonts w:ascii="Arial" w:hAnsi="Arial" w:cs="Arial"/>
        </w:rPr>
        <w:t>’</w:t>
      </w:r>
      <w:r w:rsidR="002C600E" w:rsidRPr="00FF60D9">
        <w:rPr>
          <w:rFonts w:ascii="Arial" w:hAnsi="Arial" w:cs="Arial"/>
        </w:rPr>
        <w:t xml:space="preserve"> within the federal government for recruiting, retaining, and sustaining a ready, diverse and highly skilled workforce”, it stated in its 2015 strategic plan</w:t>
      </w:r>
      <w:r w:rsidR="00C754C9">
        <w:rPr>
          <w:rFonts w:ascii="Arial" w:hAnsi="Arial" w:cs="Arial"/>
        </w:rPr>
        <w:t xml:space="preserve"> for diversity and inclusion</w:t>
      </w:r>
      <w:r w:rsidR="002C600E" w:rsidRPr="00FF60D9">
        <w:rPr>
          <w:rFonts w:ascii="Arial" w:hAnsi="Arial" w:cs="Arial"/>
        </w:rPr>
        <w:t>.</w:t>
      </w:r>
      <w:r w:rsidR="002C600E" w:rsidRPr="00FF60D9">
        <w:rPr>
          <w:rStyle w:val="FootnoteReference"/>
          <w:rFonts w:ascii="Arial" w:hAnsi="Arial" w:cs="Arial"/>
        </w:rPr>
        <w:footnoteReference w:id="103"/>
      </w:r>
    </w:p>
    <w:p w14:paraId="78FCDFF4" w14:textId="77777777" w:rsidR="002F4DDB" w:rsidRPr="00FF60D9" w:rsidRDefault="002F4DDB" w:rsidP="002F4DDB">
      <w:pPr>
        <w:spacing w:line="480" w:lineRule="auto"/>
        <w:ind w:left="1080"/>
        <w:rPr>
          <w:rFonts w:ascii="Arial" w:hAnsi="Arial" w:cs="Arial"/>
        </w:rPr>
      </w:pPr>
    </w:p>
    <w:p w14:paraId="5BEA4CA6" w14:textId="579DB41B" w:rsidR="002C600E" w:rsidRPr="002F4DDB" w:rsidRDefault="002F4DDB" w:rsidP="002F4DDB">
      <w:pPr>
        <w:pStyle w:val="ListParagraph"/>
        <w:numPr>
          <w:ilvl w:val="2"/>
          <w:numId w:val="9"/>
        </w:numPr>
        <w:spacing w:line="480" w:lineRule="auto"/>
        <w:ind w:firstLine="0"/>
        <w:rPr>
          <w:rFonts w:ascii="Arial" w:hAnsi="Arial" w:cs="Arial"/>
          <w:b/>
        </w:rPr>
      </w:pPr>
      <w:r w:rsidRPr="002F4DDB">
        <w:rPr>
          <w:rFonts w:ascii="Arial" w:hAnsi="Arial" w:cs="Arial"/>
          <w:b/>
        </w:rPr>
        <w:t>Sexual Assault Response Coordinator</w:t>
      </w:r>
    </w:p>
    <w:p w14:paraId="468B6581" w14:textId="01474133" w:rsidR="002C600E" w:rsidRPr="00FF60D9" w:rsidRDefault="002C600E" w:rsidP="002F4DDB">
      <w:pPr>
        <w:spacing w:line="480" w:lineRule="auto"/>
        <w:ind w:left="1080"/>
        <w:rPr>
          <w:rFonts w:ascii="Arial" w:hAnsi="Arial" w:cs="Arial"/>
          <w:color w:val="000000" w:themeColor="text1"/>
        </w:rPr>
      </w:pPr>
      <w:r w:rsidRPr="00FF60D9">
        <w:rPr>
          <w:rFonts w:ascii="Arial" w:hAnsi="Arial" w:cs="Arial"/>
        </w:rPr>
        <w:t>The SAPR program first includes a Sexual Assault Response Coordinator (SARC), which is a person who oversees the SAPR program at all units from a regional or lower level. This per</w:t>
      </w:r>
      <w:r w:rsidR="004F3D8A" w:rsidRPr="00FF60D9">
        <w:rPr>
          <w:rFonts w:ascii="Arial" w:hAnsi="Arial" w:cs="Arial"/>
        </w:rPr>
        <w:t>son is in a full-time position that manages cases, requires credentialing</w:t>
      </w:r>
      <w:r w:rsidRPr="00FF60D9">
        <w:rPr>
          <w:rFonts w:ascii="Arial" w:hAnsi="Arial" w:cs="Arial"/>
        </w:rPr>
        <w:t xml:space="preserve"> as an advocate, and oversees all subordinate units, participates in the Crisis Intervention Team for all cases under their area, oversees all Victim Advocates (VAs) in the area as well as the annual training that they are responsible for putting on, and is the resident expert on local laws in surrounding civilian jurisdictions.</w:t>
      </w:r>
      <w:r w:rsidRPr="00FF60D9">
        <w:rPr>
          <w:rStyle w:val="FootnoteReference"/>
          <w:rFonts w:ascii="Arial" w:hAnsi="Arial" w:cs="Arial"/>
        </w:rPr>
        <w:footnoteReference w:id="104"/>
      </w:r>
      <w:r w:rsidRPr="00FF60D9">
        <w:rPr>
          <w:rFonts w:ascii="Arial" w:hAnsi="Arial" w:cs="Arial"/>
        </w:rPr>
        <w:t xml:space="preserve"> </w:t>
      </w:r>
    </w:p>
    <w:p w14:paraId="54BC39D8" w14:textId="18288EC0" w:rsidR="002C600E" w:rsidRDefault="002C600E" w:rsidP="002F4DDB">
      <w:pPr>
        <w:spacing w:line="480" w:lineRule="auto"/>
        <w:ind w:left="1080"/>
        <w:rPr>
          <w:rFonts w:ascii="Arial" w:hAnsi="Arial" w:cs="Arial"/>
          <w:color w:val="000000" w:themeColor="text1"/>
        </w:rPr>
      </w:pPr>
    </w:p>
    <w:p w14:paraId="66F92002" w14:textId="1555845C" w:rsidR="002F4DDB" w:rsidRPr="002F4DDB" w:rsidRDefault="002F4DDB" w:rsidP="002F4DDB">
      <w:pPr>
        <w:pStyle w:val="ListParagraph"/>
        <w:numPr>
          <w:ilvl w:val="2"/>
          <w:numId w:val="9"/>
        </w:numPr>
        <w:spacing w:line="480" w:lineRule="auto"/>
        <w:ind w:firstLine="0"/>
        <w:rPr>
          <w:rFonts w:ascii="Arial" w:hAnsi="Arial" w:cs="Arial"/>
          <w:b/>
          <w:color w:val="000000" w:themeColor="text1"/>
        </w:rPr>
      </w:pPr>
      <w:r w:rsidRPr="002F4DDB">
        <w:rPr>
          <w:rFonts w:ascii="Arial" w:hAnsi="Arial" w:cs="Arial"/>
          <w:b/>
          <w:color w:val="000000" w:themeColor="text1"/>
        </w:rPr>
        <w:t>Victim’s Advocate</w:t>
      </w:r>
    </w:p>
    <w:p w14:paraId="2287B743" w14:textId="75229625" w:rsidR="004F3D8A" w:rsidRPr="00FF60D9" w:rsidRDefault="004F3D8A" w:rsidP="002F4DDB">
      <w:pPr>
        <w:spacing w:line="480" w:lineRule="auto"/>
        <w:ind w:left="1080"/>
        <w:rPr>
          <w:rFonts w:ascii="Arial" w:hAnsi="Arial" w:cs="Arial"/>
          <w:color w:val="000000" w:themeColor="text1"/>
        </w:rPr>
      </w:pPr>
      <w:r w:rsidRPr="00FF60D9">
        <w:rPr>
          <w:rFonts w:ascii="Arial" w:hAnsi="Arial" w:cs="Arial"/>
          <w:color w:val="000000" w:themeColor="text1"/>
        </w:rPr>
        <w:t xml:space="preserve">Next is a small army of VA’s, with a requirement that </w:t>
      </w:r>
      <w:r w:rsidR="00FF60D9" w:rsidRPr="00FF60D9">
        <w:rPr>
          <w:rFonts w:ascii="Arial" w:hAnsi="Arial" w:cs="Arial"/>
          <w:color w:val="000000" w:themeColor="text1"/>
        </w:rPr>
        <w:t xml:space="preserve">there be </w:t>
      </w:r>
      <w:r w:rsidRPr="00FF60D9">
        <w:rPr>
          <w:rFonts w:ascii="Arial" w:hAnsi="Arial" w:cs="Arial"/>
          <w:color w:val="000000" w:themeColor="text1"/>
        </w:rPr>
        <w:t xml:space="preserve">two qualified VA’s at every unit </w:t>
      </w:r>
      <w:r w:rsidR="00FF60D9" w:rsidRPr="00FF60D9">
        <w:rPr>
          <w:rFonts w:ascii="Arial" w:hAnsi="Arial" w:cs="Arial"/>
          <w:color w:val="000000" w:themeColor="text1"/>
        </w:rPr>
        <w:t>that has</w:t>
      </w:r>
      <w:r w:rsidRPr="00FF60D9">
        <w:rPr>
          <w:rFonts w:ascii="Arial" w:hAnsi="Arial" w:cs="Arial"/>
          <w:color w:val="000000" w:themeColor="text1"/>
        </w:rPr>
        <w:t xml:space="preserve"> greater than 50 people, and one more VA per </w:t>
      </w:r>
      <w:r w:rsidRPr="00FF60D9">
        <w:rPr>
          <w:rFonts w:ascii="Arial" w:hAnsi="Arial" w:cs="Arial"/>
          <w:color w:val="000000" w:themeColor="text1"/>
        </w:rPr>
        <w:lastRenderedPageBreak/>
        <w:t>additional 200 people.</w:t>
      </w:r>
      <w:r w:rsidRPr="00FF60D9">
        <w:rPr>
          <w:rStyle w:val="FootnoteReference"/>
          <w:rFonts w:ascii="Arial" w:hAnsi="Arial" w:cs="Arial"/>
          <w:color w:val="000000" w:themeColor="text1"/>
        </w:rPr>
        <w:footnoteReference w:id="105"/>
      </w:r>
      <w:r w:rsidRPr="00FF60D9">
        <w:rPr>
          <w:rFonts w:ascii="Arial" w:hAnsi="Arial" w:cs="Arial"/>
          <w:color w:val="000000" w:themeColor="text1"/>
        </w:rPr>
        <w:t xml:space="preserve"> For those in smaller, remote units, requirements say that a VA must be within a reasonable distance to meet any needs.</w:t>
      </w:r>
      <w:r w:rsidRPr="00FF60D9">
        <w:rPr>
          <w:rStyle w:val="FootnoteReference"/>
          <w:rFonts w:ascii="Arial" w:hAnsi="Arial" w:cs="Arial"/>
          <w:color w:val="000000" w:themeColor="text1"/>
        </w:rPr>
        <w:footnoteReference w:id="106"/>
      </w:r>
      <w:r w:rsidRPr="00FF60D9">
        <w:rPr>
          <w:rFonts w:ascii="Arial" w:hAnsi="Arial" w:cs="Arial"/>
          <w:color w:val="000000" w:themeColor="text1"/>
        </w:rPr>
        <w:t xml:space="preserve"> These individuals are credentialed as sexual assault victim</w:t>
      </w:r>
      <w:r w:rsidR="00EF5BD3" w:rsidRPr="00FF60D9">
        <w:rPr>
          <w:rFonts w:ascii="Arial" w:hAnsi="Arial" w:cs="Arial"/>
          <w:color w:val="000000" w:themeColor="text1"/>
        </w:rPr>
        <w:t xml:space="preserve"> advocates by NACP through NOVA, are selected and approved by the SARC, and can take restricted or unrestricted reports from any member.</w:t>
      </w:r>
      <w:r w:rsidR="00EF5BD3" w:rsidRPr="00FF60D9">
        <w:rPr>
          <w:rStyle w:val="FootnoteReference"/>
          <w:rFonts w:ascii="Arial" w:hAnsi="Arial" w:cs="Arial"/>
          <w:color w:val="000000" w:themeColor="text1"/>
        </w:rPr>
        <w:footnoteReference w:id="107"/>
      </w:r>
      <w:r w:rsidR="00EF5BD3" w:rsidRPr="00FF60D9">
        <w:rPr>
          <w:rFonts w:ascii="Arial" w:hAnsi="Arial" w:cs="Arial"/>
          <w:color w:val="000000" w:themeColor="text1"/>
        </w:rPr>
        <w:t xml:space="preserve"> They provide continuing assistance </w:t>
      </w:r>
      <w:r w:rsidR="00FF60D9" w:rsidRPr="00FF60D9">
        <w:rPr>
          <w:rFonts w:ascii="Arial" w:hAnsi="Arial" w:cs="Arial"/>
          <w:color w:val="000000" w:themeColor="text1"/>
        </w:rPr>
        <w:t xml:space="preserve">throughout </w:t>
      </w:r>
      <w:r w:rsidR="00EF5BD3" w:rsidRPr="00FF60D9">
        <w:rPr>
          <w:rFonts w:ascii="Arial" w:hAnsi="Arial" w:cs="Arial"/>
          <w:color w:val="000000" w:themeColor="text1"/>
        </w:rPr>
        <w:t>the completion of a criminal trial if that is the course a survivor chose</w:t>
      </w:r>
      <w:r w:rsidR="00FF60D9" w:rsidRPr="00FF60D9">
        <w:rPr>
          <w:rFonts w:ascii="Arial" w:hAnsi="Arial" w:cs="Arial"/>
          <w:color w:val="000000" w:themeColor="text1"/>
        </w:rPr>
        <w:t>s</w:t>
      </w:r>
      <w:r w:rsidR="00EF5BD3" w:rsidRPr="00FF60D9">
        <w:rPr>
          <w:rFonts w:ascii="Arial" w:hAnsi="Arial" w:cs="Arial"/>
          <w:color w:val="000000" w:themeColor="text1"/>
        </w:rPr>
        <w:t>.</w:t>
      </w:r>
      <w:r w:rsidR="00EF5BD3" w:rsidRPr="00FF60D9">
        <w:rPr>
          <w:rStyle w:val="FootnoteReference"/>
          <w:rFonts w:ascii="Arial" w:hAnsi="Arial" w:cs="Arial"/>
          <w:color w:val="000000" w:themeColor="text1"/>
        </w:rPr>
        <w:footnoteReference w:id="108"/>
      </w:r>
      <w:r w:rsidR="00EF5BD3" w:rsidRPr="00FF60D9">
        <w:rPr>
          <w:rFonts w:ascii="Arial" w:hAnsi="Arial" w:cs="Arial"/>
          <w:color w:val="000000" w:themeColor="text1"/>
        </w:rPr>
        <w:t xml:space="preserve"> </w:t>
      </w:r>
    </w:p>
    <w:p w14:paraId="5A3357C2" w14:textId="0CC36EA7" w:rsidR="00EF5BD3" w:rsidRDefault="00EF5BD3" w:rsidP="002F4DDB">
      <w:pPr>
        <w:spacing w:line="480" w:lineRule="auto"/>
        <w:ind w:left="1080"/>
        <w:rPr>
          <w:rFonts w:ascii="Arial" w:hAnsi="Arial" w:cs="Arial"/>
          <w:color w:val="000000" w:themeColor="text1"/>
        </w:rPr>
      </w:pPr>
    </w:p>
    <w:p w14:paraId="4078BD1B" w14:textId="1F613A1B" w:rsidR="002F4DDB" w:rsidRPr="002F4DDB" w:rsidRDefault="002F4DDB" w:rsidP="002F4DDB">
      <w:pPr>
        <w:pStyle w:val="ListParagraph"/>
        <w:numPr>
          <w:ilvl w:val="2"/>
          <w:numId w:val="9"/>
        </w:numPr>
        <w:spacing w:line="480" w:lineRule="auto"/>
        <w:ind w:firstLine="0"/>
        <w:rPr>
          <w:rFonts w:ascii="Arial" w:hAnsi="Arial" w:cs="Arial"/>
          <w:b/>
          <w:color w:val="000000" w:themeColor="text1"/>
        </w:rPr>
      </w:pPr>
      <w:r w:rsidRPr="002F4DDB">
        <w:rPr>
          <w:rFonts w:ascii="Arial" w:hAnsi="Arial" w:cs="Arial"/>
          <w:b/>
          <w:color w:val="000000" w:themeColor="text1"/>
        </w:rPr>
        <w:t>Reporting</w:t>
      </w:r>
    </w:p>
    <w:p w14:paraId="7EBA87C3" w14:textId="4F4A7EA4" w:rsidR="00EF5BD3" w:rsidRPr="00FF60D9" w:rsidRDefault="00EF5BD3" w:rsidP="002F4DDB">
      <w:pPr>
        <w:spacing w:line="480" w:lineRule="auto"/>
        <w:ind w:left="1080"/>
        <w:rPr>
          <w:rFonts w:ascii="Arial" w:hAnsi="Arial" w:cs="Arial"/>
        </w:rPr>
      </w:pPr>
      <w:r w:rsidRPr="00FF60D9">
        <w:rPr>
          <w:rFonts w:ascii="Arial" w:hAnsi="Arial" w:cs="Arial"/>
          <w:color w:val="000000" w:themeColor="text1"/>
        </w:rPr>
        <w:t>The SAPR program contains a few mechanisms that may help shape the culture into one that does not accept SA. For instance, the program has restricted and unrestricted reporting.</w:t>
      </w:r>
      <w:r w:rsidRPr="00FF60D9">
        <w:rPr>
          <w:rStyle w:val="FootnoteReference"/>
          <w:rFonts w:ascii="Arial" w:hAnsi="Arial" w:cs="Arial"/>
          <w:color w:val="000000" w:themeColor="text1"/>
        </w:rPr>
        <w:footnoteReference w:id="109"/>
      </w:r>
      <w:r w:rsidRPr="00FF60D9">
        <w:rPr>
          <w:rFonts w:ascii="Arial" w:hAnsi="Arial" w:cs="Arial"/>
          <w:color w:val="000000" w:themeColor="text1"/>
        </w:rPr>
        <w:t xml:space="preserve"> A survivor may choose to make a restricted report so that they can receive medical care and an advocate among other things, but not initiate command action or the criminal justice process.</w:t>
      </w:r>
      <w:r w:rsidRPr="00FF60D9">
        <w:rPr>
          <w:rStyle w:val="FootnoteReference"/>
          <w:rFonts w:ascii="Arial" w:hAnsi="Arial" w:cs="Arial"/>
          <w:color w:val="000000" w:themeColor="text1"/>
        </w:rPr>
        <w:footnoteReference w:id="110"/>
      </w:r>
      <w:r w:rsidRPr="00FF60D9">
        <w:rPr>
          <w:rFonts w:ascii="Arial" w:hAnsi="Arial" w:cs="Arial"/>
          <w:color w:val="000000" w:themeColor="text1"/>
        </w:rPr>
        <w:t xml:space="preserve"> This gives the survivor agency in her circumstances. The survivor may also chose to make an unrestricted report, where the criminal justice process and command action are set into motion. An unrestricted report is made any time a third party (other than a VA, SARC, Chaplain, or health worker) becomes aware, or if law enforcement is already involved.</w:t>
      </w:r>
      <w:r w:rsidRPr="00FF60D9">
        <w:rPr>
          <w:rStyle w:val="FootnoteReference"/>
          <w:rFonts w:ascii="Arial" w:hAnsi="Arial" w:cs="Arial"/>
          <w:color w:val="000000" w:themeColor="text1"/>
        </w:rPr>
        <w:footnoteReference w:id="111"/>
      </w:r>
      <w:r w:rsidRPr="00FF60D9">
        <w:rPr>
          <w:rFonts w:ascii="Arial" w:hAnsi="Arial" w:cs="Arial"/>
        </w:rPr>
        <w:t xml:space="preserve"> This </w:t>
      </w:r>
      <w:r w:rsidRPr="00FF60D9">
        <w:rPr>
          <w:rFonts w:ascii="Arial" w:hAnsi="Arial" w:cs="Arial"/>
        </w:rPr>
        <w:lastRenderedPageBreak/>
        <w:t>option allows for justice to be served whenever possible and when chosen by the survivor.</w:t>
      </w:r>
    </w:p>
    <w:p w14:paraId="17B32977" w14:textId="77777777" w:rsidR="00EF5BD3" w:rsidRPr="00FF60D9" w:rsidRDefault="00EF5BD3" w:rsidP="002F4DDB">
      <w:pPr>
        <w:spacing w:line="480" w:lineRule="auto"/>
        <w:ind w:left="1080"/>
        <w:rPr>
          <w:rFonts w:ascii="Arial" w:hAnsi="Arial" w:cs="Arial"/>
        </w:rPr>
      </w:pPr>
    </w:p>
    <w:p w14:paraId="712A7D48" w14:textId="54144F6C" w:rsidR="002F4DDB" w:rsidRPr="002F4DDB" w:rsidRDefault="002F4DDB" w:rsidP="002F4DDB">
      <w:pPr>
        <w:pStyle w:val="ListParagraph"/>
        <w:numPr>
          <w:ilvl w:val="2"/>
          <w:numId w:val="9"/>
        </w:numPr>
        <w:spacing w:line="480" w:lineRule="auto"/>
        <w:ind w:firstLine="0"/>
        <w:rPr>
          <w:rFonts w:ascii="Arial" w:hAnsi="Arial" w:cs="Arial"/>
          <w:b/>
        </w:rPr>
      </w:pPr>
      <w:r w:rsidRPr="002F4DDB">
        <w:rPr>
          <w:rFonts w:ascii="Arial" w:hAnsi="Arial" w:cs="Arial"/>
          <w:b/>
        </w:rPr>
        <w:t>Mandated Reporting and Annual, Mandatory Training</w:t>
      </w:r>
    </w:p>
    <w:p w14:paraId="77E92D32" w14:textId="7ED5F525" w:rsidR="00EF5BD3" w:rsidRPr="00FF60D9" w:rsidRDefault="00EF5BD3" w:rsidP="002F4DDB">
      <w:pPr>
        <w:spacing w:line="480" w:lineRule="auto"/>
        <w:ind w:left="1080"/>
        <w:rPr>
          <w:rFonts w:ascii="Arial" w:hAnsi="Arial" w:cs="Arial"/>
        </w:rPr>
      </w:pPr>
      <w:r w:rsidRPr="00FF60D9">
        <w:rPr>
          <w:rFonts w:ascii="Arial" w:hAnsi="Arial" w:cs="Arial"/>
        </w:rPr>
        <w:t>Another mechanism is mandated reporti</w:t>
      </w:r>
      <w:r w:rsidR="00466F01" w:rsidRPr="00FF60D9">
        <w:rPr>
          <w:rFonts w:ascii="Arial" w:hAnsi="Arial" w:cs="Arial"/>
        </w:rPr>
        <w:t>ng wherein any active duty member or civilian employee who “becomes aware” that a SA has or “may have” occurred, the individual must report the incident to their chain of command or SARC within 24 hours.</w:t>
      </w:r>
      <w:r w:rsidR="00466F01" w:rsidRPr="00FF60D9">
        <w:rPr>
          <w:rStyle w:val="FootnoteReference"/>
          <w:rFonts w:ascii="Arial" w:hAnsi="Arial" w:cs="Arial"/>
        </w:rPr>
        <w:footnoteReference w:id="112"/>
      </w:r>
      <w:r w:rsidR="00466F01" w:rsidRPr="00FF60D9">
        <w:rPr>
          <w:rFonts w:ascii="Arial" w:hAnsi="Arial" w:cs="Arial"/>
        </w:rPr>
        <w:t xml:space="preserve"> This </w:t>
      </w:r>
      <w:r w:rsidR="00553C71" w:rsidRPr="00FF60D9">
        <w:rPr>
          <w:rFonts w:ascii="Arial" w:hAnsi="Arial" w:cs="Arial"/>
        </w:rPr>
        <w:t xml:space="preserve">mandate </w:t>
      </w:r>
      <w:r w:rsidR="00466F01" w:rsidRPr="00FF60D9">
        <w:rPr>
          <w:rFonts w:ascii="Arial" w:hAnsi="Arial" w:cs="Arial"/>
        </w:rPr>
        <w:t xml:space="preserve">applies to all </w:t>
      </w:r>
      <w:r w:rsidR="00553C71" w:rsidRPr="00FF60D9">
        <w:rPr>
          <w:rFonts w:ascii="Arial" w:hAnsi="Arial" w:cs="Arial"/>
        </w:rPr>
        <w:t>members</w:t>
      </w:r>
      <w:r w:rsidR="00466F01" w:rsidRPr="00FF60D9">
        <w:rPr>
          <w:rFonts w:ascii="Arial" w:hAnsi="Arial" w:cs="Arial"/>
        </w:rPr>
        <w:t xml:space="preserve"> who are not those designated and authorized to receive restricted reports</w:t>
      </w:r>
      <w:r w:rsidR="00553C71" w:rsidRPr="00FF60D9">
        <w:rPr>
          <w:rFonts w:ascii="Arial" w:hAnsi="Arial" w:cs="Arial"/>
        </w:rPr>
        <w:t>.</w:t>
      </w:r>
      <w:r w:rsidR="00553C71" w:rsidRPr="00FF60D9">
        <w:rPr>
          <w:rStyle w:val="FootnoteReference"/>
          <w:rFonts w:ascii="Arial" w:hAnsi="Arial" w:cs="Arial"/>
        </w:rPr>
        <w:footnoteReference w:id="113"/>
      </w:r>
      <w:r w:rsidR="00553C71" w:rsidRPr="00FF60D9">
        <w:rPr>
          <w:rFonts w:ascii="Arial" w:hAnsi="Arial" w:cs="Arial"/>
        </w:rPr>
        <w:t xml:space="preserve"> Because most of the CG’s force is designated as a mandatory reporter, mandatory training is vital if they are to be expected to live up to their duty. Thus, the SAPR program mandates annual training for all members and civilian employees that covers an exhaustive and detailed list of topics and issues surrounding SA including the culture, consent, barriers to reporting, bystander intervention training, retaliatory actions, post-assault behaviors, and more.</w:t>
      </w:r>
      <w:r w:rsidR="00553C71" w:rsidRPr="00FF60D9">
        <w:rPr>
          <w:rStyle w:val="FootnoteReference"/>
          <w:rFonts w:ascii="Arial" w:hAnsi="Arial" w:cs="Arial"/>
        </w:rPr>
        <w:footnoteReference w:id="114"/>
      </w:r>
    </w:p>
    <w:p w14:paraId="6BF0203B" w14:textId="6FFED554" w:rsidR="008A5504" w:rsidRDefault="008A5504" w:rsidP="002F4DDB">
      <w:pPr>
        <w:spacing w:line="480" w:lineRule="auto"/>
        <w:ind w:left="1080"/>
        <w:rPr>
          <w:rFonts w:ascii="Arial" w:hAnsi="Arial" w:cs="Arial"/>
        </w:rPr>
      </w:pPr>
    </w:p>
    <w:p w14:paraId="1E4AE836" w14:textId="09BEFBFE" w:rsidR="002F4DDB" w:rsidRPr="002F4DDB" w:rsidRDefault="002F4DDB" w:rsidP="002F4DDB">
      <w:pPr>
        <w:pStyle w:val="ListParagraph"/>
        <w:numPr>
          <w:ilvl w:val="2"/>
          <w:numId w:val="9"/>
        </w:numPr>
        <w:spacing w:line="480" w:lineRule="auto"/>
        <w:ind w:firstLine="0"/>
        <w:rPr>
          <w:rFonts w:ascii="Arial" w:hAnsi="Arial" w:cs="Arial"/>
          <w:b/>
        </w:rPr>
      </w:pPr>
      <w:r w:rsidRPr="002F4DDB">
        <w:rPr>
          <w:rFonts w:ascii="Arial" w:hAnsi="Arial" w:cs="Arial"/>
          <w:b/>
        </w:rPr>
        <w:t>Special Victim’s Counsel</w:t>
      </w:r>
    </w:p>
    <w:p w14:paraId="76117888" w14:textId="01A39E6E" w:rsidR="008A5504" w:rsidRDefault="008A5504" w:rsidP="002F4DDB">
      <w:pPr>
        <w:spacing w:line="480" w:lineRule="auto"/>
        <w:ind w:left="1080"/>
        <w:rPr>
          <w:rFonts w:ascii="Arial" w:hAnsi="Arial" w:cs="Arial"/>
        </w:rPr>
      </w:pPr>
      <w:r w:rsidRPr="00FF60D9">
        <w:rPr>
          <w:rFonts w:ascii="Arial" w:hAnsi="Arial" w:cs="Arial"/>
        </w:rPr>
        <w:t xml:space="preserve">Perhaps one of the most beneficial pieces of the SAPR program is the Special Victim’s Counsel (SVC) program </w:t>
      </w:r>
      <w:r w:rsidR="00ED430F" w:rsidRPr="00FF60D9">
        <w:rPr>
          <w:rFonts w:ascii="Arial" w:hAnsi="Arial" w:cs="Arial"/>
        </w:rPr>
        <w:t>that</w:t>
      </w:r>
      <w:r w:rsidRPr="00FF60D9">
        <w:rPr>
          <w:rFonts w:ascii="Arial" w:hAnsi="Arial" w:cs="Arial"/>
        </w:rPr>
        <w:t xml:space="preserve"> provides individualized and privileged legal assistance to</w:t>
      </w:r>
      <w:r w:rsidR="003428A0" w:rsidRPr="00FF60D9">
        <w:rPr>
          <w:rFonts w:ascii="Arial" w:hAnsi="Arial" w:cs="Arial"/>
        </w:rPr>
        <w:t xml:space="preserve"> survivors – active duty, civilian, and civilian </w:t>
      </w:r>
      <w:r w:rsidR="003428A0" w:rsidRPr="00FF60D9">
        <w:rPr>
          <w:rFonts w:ascii="Arial" w:hAnsi="Arial" w:cs="Arial"/>
        </w:rPr>
        <w:lastRenderedPageBreak/>
        <w:t>employee, who make a report of SA.</w:t>
      </w:r>
      <w:r w:rsidR="003428A0" w:rsidRPr="00FF60D9">
        <w:rPr>
          <w:rStyle w:val="FootnoteReference"/>
          <w:rFonts w:ascii="Arial" w:hAnsi="Arial" w:cs="Arial"/>
        </w:rPr>
        <w:footnoteReference w:id="115"/>
      </w:r>
      <w:r w:rsidR="003428A0" w:rsidRPr="00FF60D9">
        <w:rPr>
          <w:rFonts w:ascii="Arial" w:hAnsi="Arial" w:cs="Arial"/>
        </w:rPr>
        <w:t>This attorney is with the survivor until any proceedings are closed and the attorney closes the representation, or until the client releases the SVC.</w:t>
      </w:r>
      <w:r w:rsidR="003428A0" w:rsidRPr="00FF60D9">
        <w:rPr>
          <w:rStyle w:val="FootnoteReference"/>
          <w:rFonts w:ascii="Arial" w:hAnsi="Arial" w:cs="Arial"/>
        </w:rPr>
        <w:footnoteReference w:id="116"/>
      </w:r>
      <w:r w:rsidR="003428A0" w:rsidRPr="00FF60D9">
        <w:rPr>
          <w:rFonts w:ascii="Arial" w:hAnsi="Arial" w:cs="Arial"/>
        </w:rPr>
        <w:t xml:space="preserve"> Not only does the SVC serve the critical role of providing legal advice through what is typically a whirlwind of criminal, civil, and workplace proceedings, but also advocates for the survivors interests at hearings, in plea deals, in sentencing, and other collateral issues such as workplace retaliation, complaints, and performance evaluation appeals.</w:t>
      </w:r>
      <w:r w:rsidR="003428A0" w:rsidRPr="00FF60D9">
        <w:rPr>
          <w:rStyle w:val="FootnoteReference"/>
          <w:rFonts w:ascii="Arial" w:hAnsi="Arial" w:cs="Arial"/>
        </w:rPr>
        <w:footnoteReference w:id="117"/>
      </w:r>
    </w:p>
    <w:p w14:paraId="7D0189EF" w14:textId="3F157F36" w:rsidR="007451C8" w:rsidRDefault="007451C8" w:rsidP="002F4DDB">
      <w:pPr>
        <w:spacing w:line="480" w:lineRule="auto"/>
        <w:ind w:left="1080"/>
        <w:rPr>
          <w:rFonts w:ascii="Arial" w:hAnsi="Arial" w:cs="Arial"/>
        </w:rPr>
      </w:pPr>
    </w:p>
    <w:p w14:paraId="1315175A" w14:textId="6C296A4A" w:rsidR="007451C8" w:rsidRPr="007451C8" w:rsidRDefault="007451C8" w:rsidP="007451C8">
      <w:pPr>
        <w:pStyle w:val="ListParagraph"/>
        <w:numPr>
          <w:ilvl w:val="2"/>
          <w:numId w:val="9"/>
        </w:numPr>
        <w:spacing w:line="480" w:lineRule="auto"/>
        <w:rPr>
          <w:rFonts w:ascii="Arial" w:hAnsi="Arial" w:cs="Arial"/>
          <w:b/>
        </w:rPr>
      </w:pPr>
      <w:r w:rsidRPr="007451C8">
        <w:rPr>
          <w:rFonts w:ascii="Arial" w:hAnsi="Arial" w:cs="Arial"/>
          <w:b/>
        </w:rPr>
        <w:t>Expedited Transfer</w:t>
      </w:r>
    </w:p>
    <w:p w14:paraId="052FDB23" w14:textId="5E4E81DD" w:rsidR="007451C8" w:rsidRPr="007451C8" w:rsidRDefault="007451C8" w:rsidP="007451C8">
      <w:pPr>
        <w:spacing w:line="480" w:lineRule="auto"/>
        <w:ind w:left="1080"/>
        <w:rPr>
          <w:rFonts w:ascii="Arial" w:hAnsi="Arial" w:cs="Arial"/>
        </w:rPr>
      </w:pPr>
      <w:r>
        <w:rPr>
          <w:rFonts w:ascii="Arial" w:hAnsi="Arial" w:cs="Arial"/>
        </w:rPr>
        <w:t>For those survivors who face harm or hostile working environments after reposting a SA, an expedited transfer is available. This allows the survivors to be placed in a new unit, often near home or supportive persons, so that they can escape the danger of their assaulter and relocate to a location better suited to foster recovery.</w:t>
      </w:r>
      <w:r>
        <w:rPr>
          <w:rStyle w:val="FootnoteReference"/>
          <w:rFonts w:ascii="Arial" w:hAnsi="Arial" w:cs="Arial"/>
        </w:rPr>
        <w:footnoteReference w:id="118"/>
      </w:r>
      <w:r w:rsidR="00C46EDF">
        <w:rPr>
          <w:rFonts w:ascii="Arial" w:hAnsi="Arial" w:cs="Arial"/>
        </w:rPr>
        <w:t xml:space="preserve"> Expedited transfers are fast and can occur outside of normal rotations, which can be years long depending on the billet. This benefit extended to survivors can be the difference between continuing on in their career or having to leave the organization.</w:t>
      </w:r>
    </w:p>
    <w:p w14:paraId="1CA38434" w14:textId="77777777" w:rsidR="00553C71" w:rsidRPr="00FF60D9" w:rsidRDefault="00553C71" w:rsidP="002F4DDB">
      <w:pPr>
        <w:spacing w:line="480" w:lineRule="auto"/>
        <w:ind w:left="1080"/>
        <w:rPr>
          <w:rFonts w:ascii="Arial" w:hAnsi="Arial" w:cs="Arial"/>
        </w:rPr>
      </w:pPr>
    </w:p>
    <w:p w14:paraId="481387A5" w14:textId="5E20A182" w:rsidR="00553C71" w:rsidRPr="00FF60D9" w:rsidRDefault="00553C71" w:rsidP="007451C8">
      <w:pPr>
        <w:spacing w:line="480" w:lineRule="auto"/>
        <w:ind w:left="720"/>
        <w:rPr>
          <w:rFonts w:ascii="Arial" w:hAnsi="Arial" w:cs="Arial"/>
          <w:color w:val="000000" w:themeColor="text1"/>
        </w:rPr>
      </w:pPr>
      <w:r w:rsidRPr="00FF60D9">
        <w:rPr>
          <w:rFonts w:ascii="Arial" w:hAnsi="Arial" w:cs="Arial"/>
        </w:rPr>
        <w:lastRenderedPageBreak/>
        <w:t>In addition to a quite robust program, the CG produces four year strategic plans, and reports to Congress about its progress with respect to those strategic plans.</w:t>
      </w:r>
      <w:r w:rsidRPr="00FF60D9">
        <w:rPr>
          <w:rStyle w:val="FootnoteReference"/>
          <w:rFonts w:ascii="Arial" w:hAnsi="Arial" w:cs="Arial"/>
        </w:rPr>
        <w:footnoteReference w:id="119"/>
      </w:r>
      <w:r w:rsidRPr="00FF60D9">
        <w:rPr>
          <w:rFonts w:ascii="Arial" w:hAnsi="Arial" w:cs="Arial"/>
        </w:rPr>
        <w:t xml:space="preserve"> Since 2012, one of the major driving forces behind enacting real change in the CG’s culture is the oversight of a defined and goal driven direction for the SAPR program as a whole. When Congress is watching, the CG puts its best efforts forward and that pressure is felt on the ground, where the changes actually happen.</w:t>
      </w:r>
    </w:p>
    <w:p w14:paraId="544FB1FF" w14:textId="77777777" w:rsidR="00A34F38" w:rsidRPr="00FF60D9" w:rsidRDefault="00A34F38" w:rsidP="00FF60D9">
      <w:pPr>
        <w:spacing w:line="480" w:lineRule="auto"/>
        <w:ind w:left="720"/>
        <w:rPr>
          <w:rFonts w:ascii="Arial" w:hAnsi="Arial" w:cs="Arial"/>
        </w:rPr>
      </w:pPr>
    </w:p>
    <w:p w14:paraId="24196B3F" w14:textId="76F7E560" w:rsidR="00A34F38" w:rsidRPr="00FF60D9" w:rsidRDefault="00A053E6" w:rsidP="00FF60D9">
      <w:pPr>
        <w:pStyle w:val="ListParagraph"/>
        <w:numPr>
          <w:ilvl w:val="1"/>
          <w:numId w:val="9"/>
        </w:numPr>
        <w:spacing w:line="480" w:lineRule="auto"/>
        <w:rPr>
          <w:rFonts w:ascii="Arial" w:hAnsi="Arial" w:cs="Arial"/>
          <w:b/>
        </w:rPr>
      </w:pPr>
      <w:r w:rsidRPr="00FF60D9">
        <w:rPr>
          <w:rFonts w:ascii="Arial" w:hAnsi="Arial" w:cs="Arial"/>
          <w:b/>
        </w:rPr>
        <w:t>Family Advocacy Program</w:t>
      </w:r>
    </w:p>
    <w:p w14:paraId="7CD9FF12" w14:textId="62FE570E" w:rsidR="00553C71" w:rsidRDefault="00117A78" w:rsidP="002F4DDB">
      <w:pPr>
        <w:pStyle w:val="Listlevel1"/>
        <w:numPr>
          <w:ilvl w:val="0"/>
          <w:numId w:val="0"/>
        </w:numPr>
        <w:ind w:left="720"/>
        <w:rPr>
          <w:rFonts w:ascii="Arial" w:hAnsi="Arial" w:cs="Arial"/>
          <w:szCs w:val="24"/>
        </w:rPr>
      </w:pPr>
      <w:r w:rsidRPr="00FF60D9">
        <w:rPr>
          <w:rFonts w:ascii="Arial" w:hAnsi="Arial" w:cs="Arial"/>
          <w:szCs w:val="24"/>
        </w:rPr>
        <w:t xml:space="preserve">The Family Advocacy Program </w:t>
      </w:r>
      <w:r w:rsidR="00553C71" w:rsidRPr="00FF60D9">
        <w:rPr>
          <w:rFonts w:ascii="Arial" w:hAnsi="Arial" w:cs="Arial"/>
          <w:szCs w:val="24"/>
        </w:rPr>
        <w:t xml:space="preserve">(FAP) is similar to the SAPR program, except that it </w:t>
      </w:r>
      <w:r w:rsidRPr="00FF60D9">
        <w:rPr>
          <w:rFonts w:ascii="Arial" w:hAnsi="Arial" w:cs="Arial"/>
          <w:szCs w:val="24"/>
        </w:rPr>
        <w:t xml:space="preserve">handles reports of IPV, as well as child abuse, and oversees </w:t>
      </w:r>
      <w:r w:rsidR="00553C71" w:rsidRPr="00FF60D9">
        <w:rPr>
          <w:rFonts w:ascii="Arial" w:hAnsi="Arial" w:cs="Arial"/>
          <w:szCs w:val="24"/>
        </w:rPr>
        <w:t xml:space="preserve">other </w:t>
      </w:r>
      <w:r w:rsidRPr="00FF60D9">
        <w:rPr>
          <w:rFonts w:ascii="Arial" w:hAnsi="Arial" w:cs="Arial"/>
          <w:szCs w:val="24"/>
        </w:rPr>
        <w:t>IPV related policies and programs.</w:t>
      </w:r>
      <w:r w:rsidR="008A5504" w:rsidRPr="00FF60D9">
        <w:rPr>
          <w:rStyle w:val="FootnoteReference"/>
          <w:rFonts w:ascii="Arial" w:hAnsi="Arial" w:cs="Arial"/>
          <w:szCs w:val="24"/>
        </w:rPr>
        <w:footnoteReference w:id="120"/>
      </w:r>
      <w:r w:rsidRPr="00FF60D9">
        <w:rPr>
          <w:rFonts w:ascii="Arial" w:hAnsi="Arial" w:cs="Arial"/>
          <w:szCs w:val="24"/>
        </w:rPr>
        <w:t xml:space="preserve"> The program is staffed by social workers</w:t>
      </w:r>
      <w:r w:rsidR="00553C71" w:rsidRPr="00FF60D9">
        <w:rPr>
          <w:rFonts w:ascii="Arial" w:hAnsi="Arial" w:cs="Arial"/>
          <w:szCs w:val="24"/>
        </w:rPr>
        <w:t xml:space="preserve"> situated regionally</w:t>
      </w:r>
      <w:r w:rsidRPr="00FF60D9">
        <w:rPr>
          <w:rFonts w:ascii="Arial" w:hAnsi="Arial" w:cs="Arial"/>
          <w:szCs w:val="24"/>
        </w:rPr>
        <w:t xml:space="preserve"> and it coordinates with CGIS, commands, and legal offices. </w:t>
      </w:r>
      <w:r w:rsidR="00553C71" w:rsidRPr="00FF60D9">
        <w:rPr>
          <w:rFonts w:ascii="Arial" w:hAnsi="Arial" w:cs="Arial"/>
          <w:szCs w:val="24"/>
        </w:rPr>
        <w:t>A survivor</w:t>
      </w:r>
      <w:r w:rsidRPr="00FF60D9">
        <w:rPr>
          <w:rFonts w:ascii="Arial" w:hAnsi="Arial" w:cs="Arial"/>
          <w:szCs w:val="24"/>
        </w:rPr>
        <w:t xml:space="preserve"> </w:t>
      </w:r>
      <w:r w:rsidR="00553C71" w:rsidRPr="00FF60D9">
        <w:rPr>
          <w:rFonts w:ascii="Arial" w:hAnsi="Arial" w:cs="Arial"/>
          <w:szCs w:val="24"/>
        </w:rPr>
        <w:t>may go to FAP to</w:t>
      </w:r>
      <w:r w:rsidRPr="00FF60D9">
        <w:rPr>
          <w:rFonts w:ascii="Arial" w:hAnsi="Arial" w:cs="Arial"/>
          <w:szCs w:val="24"/>
        </w:rPr>
        <w:t xml:space="preserve"> make a restricted or an unrestricted report, gaining access to physical and mental health care, as well as other resources. Perpetrators are ab</w:t>
      </w:r>
      <w:r w:rsidR="00553C71" w:rsidRPr="00FF60D9">
        <w:rPr>
          <w:rFonts w:ascii="Arial" w:hAnsi="Arial" w:cs="Arial"/>
          <w:szCs w:val="24"/>
        </w:rPr>
        <w:t xml:space="preserve">le to self-refer and gain </w:t>
      </w:r>
      <w:r w:rsidRPr="00FF60D9">
        <w:rPr>
          <w:rFonts w:ascii="Arial" w:hAnsi="Arial" w:cs="Arial"/>
          <w:szCs w:val="24"/>
        </w:rPr>
        <w:t xml:space="preserve">access to medical treatment and support services for their family. </w:t>
      </w:r>
    </w:p>
    <w:p w14:paraId="525EAB4C" w14:textId="14DE5C14" w:rsidR="002F4DDB" w:rsidRDefault="002F4DDB" w:rsidP="002F4DDB">
      <w:pPr>
        <w:pStyle w:val="Listlevel1"/>
        <w:numPr>
          <w:ilvl w:val="0"/>
          <w:numId w:val="0"/>
        </w:numPr>
        <w:ind w:left="720"/>
        <w:rPr>
          <w:rFonts w:ascii="Arial" w:hAnsi="Arial" w:cs="Arial"/>
          <w:szCs w:val="24"/>
        </w:rPr>
      </w:pPr>
    </w:p>
    <w:p w14:paraId="317F1A19" w14:textId="0E69EF94" w:rsidR="002F4DDB" w:rsidRPr="002F4DDB" w:rsidRDefault="002F4DDB" w:rsidP="002F4DDB">
      <w:pPr>
        <w:pStyle w:val="Listlevel1"/>
        <w:numPr>
          <w:ilvl w:val="2"/>
          <w:numId w:val="9"/>
        </w:numPr>
        <w:rPr>
          <w:rFonts w:ascii="Arial" w:hAnsi="Arial" w:cs="Arial"/>
          <w:b/>
          <w:szCs w:val="24"/>
        </w:rPr>
      </w:pPr>
      <w:r w:rsidRPr="002F4DDB">
        <w:rPr>
          <w:rFonts w:ascii="Arial" w:hAnsi="Arial" w:cs="Arial"/>
          <w:b/>
          <w:szCs w:val="24"/>
        </w:rPr>
        <w:t>Restricted and Unrestricted Reporting</w:t>
      </w:r>
    </w:p>
    <w:p w14:paraId="3B6E593C" w14:textId="1118BDD6" w:rsidR="00117A78" w:rsidRDefault="00553C71" w:rsidP="002F4DDB">
      <w:pPr>
        <w:pStyle w:val="Listlevel1"/>
        <w:numPr>
          <w:ilvl w:val="0"/>
          <w:numId w:val="0"/>
        </w:numPr>
        <w:ind w:left="720"/>
        <w:rPr>
          <w:rFonts w:ascii="Arial" w:hAnsi="Arial" w:cs="Arial"/>
          <w:szCs w:val="24"/>
        </w:rPr>
      </w:pPr>
      <w:r w:rsidRPr="00FF60D9">
        <w:rPr>
          <w:rFonts w:ascii="Arial" w:hAnsi="Arial" w:cs="Arial"/>
          <w:szCs w:val="24"/>
        </w:rPr>
        <w:t xml:space="preserve">Similar to the SAPR program, FAP has both restricted and unrestricted </w:t>
      </w:r>
      <w:r w:rsidRPr="00FF60D9">
        <w:rPr>
          <w:rFonts w:ascii="Arial" w:hAnsi="Arial" w:cs="Arial"/>
          <w:szCs w:val="24"/>
        </w:rPr>
        <w:lastRenderedPageBreak/>
        <w:t>reports.</w:t>
      </w:r>
      <w:r w:rsidRPr="00FF60D9">
        <w:rPr>
          <w:rStyle w:val="FootnoteReference"/>
          <w:rFonts w:ascii="Arial" w:hAnsi="Arial" w:cs="Arial"/>
          <w:szCs w:val="24"/>
        </w:rPr>
        <w:footnoteReference w:id="121"/>
      </w:r>
      <w:r w:rsidRPr="00FF60D9">
        <w:rPr>
          <w:rFonts w:ascii="Arial" w:hAnsi="Arial" w:cs="Arial"/>
          <w:szCs w:val="24"/>
        </w:rPr>
        <w:t xml:space="preserve"> They are largely the same, except that r</w:t>
      </w:r>
      <w:r w:rsidR="00117A78" w:rsidRPr="00FF60D9">
        <w:rPr>
          <w:rFonts w:ascii="Arial" w:hAnsi="Arial" w:cs="Arial"/>
          <w:szCs w:val="24"/>
        </w:rPr>
        <w:t xml:space="preserve">eports </w:t>
      </w:r>
      <w:r w:rsidRPr="00FF60D9">
        <w:rPr>
          <w:rFonts w:ascii="Arial" w:hAnsi="Arial" w:cs="Arial"/>
          <w:szCs w:val="24"/>
        </w:rPr>
        <w:t>cannot be</w:t>
      </w:r>
      <w:r w:rsidR="00117A78" w:rsidRPr="00FF60D9">
        <w:rPr>
          <w:rFonts w:ascii="Arial" w:hAnsi="Arial" w:cs="Arial"/>
          <w:szCs w:val="24"/>
        </w:rPr>
        <w:t xml:space="preserve"> restricted, when the incident involves the presence of a child, if the incident indicates an imminent threat of danger, or if the incident has already been disclosed to another individual bound by mandatory reporting</w:t>
      </w:r>
      <w:r w:rsidR="00117A78" w:rsidRPr="00FF60D9">
        <w:rPr>
          <w:rStyle w:val="FootnoteReference"/>
          <w:rFonts w:ascii="Arial" w:hAnsi="Arial" w:cs="Arial"/>
          <w:szCs w:val="24"/>
        </w:rPr>
        <w:footnoteReference w:id="122"/>
      </w:r>
      <w:r w:rsidR="00117A78" w:rsidRPr="00FF60D9">
        <w:rPr>
          <w:rFonts w:ascii="Arial" w:hAnsi="Arial" w:cs="Arial"/>
          <w:szCs w:val="24"/>
        </w:rPr>
        <w:t xml:space="preserve">. </w:t>
      </w:r>
      <w:r w:rsidRPr="00FF60D9">
        <w:rPr>
          <w:rFonts w:ascii="Arial" w:hAnsi="Arial" w:cs="Arial"/>
          <w:szCs w:val="24"/>
        </w:rPr>
        <w:t>At that point, the report becomes unrestricted.</w:t>
      </w:r>
      <w:r w:rsidRPr="00FF60D9">
        <w:rPr>
          <w:rStyle w:val="FootnoteReference"/>
          <w:rFonts w:ascii="Arial" w:hAnsi="Arial" w:cs="Arial"/>
          <w:szCs w:val="24"/>
        </w:rPr>
        <w:footnoteReference w:id="123"/>
      </w:r>
    </w:p>
    <w:p w14:paraId="7D376FA3" w14:textId="52C2C98F" w:rsidR="002F4DDB" w:rsidRDefault="002F4DDB" w:rsidP="002F4DDB">
      <w:pPr>
        <w:pStyle w:val="Listlevel1"/>
        <w:numPr>
          <w:ilvl w:val="0"/>
          <w:numId w:val="0"/>
        </w:numPr>
        <w:ind w:left="720"/>
        <w:rPr>
          <w:rFonts w:ascii="Arial" w:hAnsi="Arial" w:cs="Arial"/>
          <w:szCs w:val="24"/>
        </w:rPr>
      </w:pPr>
    </w:p>
    <w:p w14:paraId="15BB4AD8" w14:textId="637C2D57" w:rsidR="002F4DDB" w:rsidRPr="002F4DDB" w:rsidRDefault="002F4DDB" w:rsidP="002F4DDB">
      <w:pPr>
        <w:pStyle w:val="Listlevel1"/>
        <w:numPr>
          <w:ilvl w:val="2"/>
          <w:numId w:val="9"/>
        </w:numPr>
        <w:rPr>
          <w:rFonts w:ascii="Arial" w:hAnsi="Arial" w:cs="Arial"/>
          <w:b/>
          <w:szCs w:val="24"/>
        </w:rPr>
      </w:pPr>
      <w:r w:rsidRPr="002F4DDB">
        <w:rPr>
          <w:rFonts w:ascii="Arial" w:hAnsi="Arial" w:cs="Arial"/>
          <w:b/>
          <w:szCs w:val="24"/>
        </w:rPr>
        <w:t>Mandatory Reporting</w:t>
      </w:r>
    </w:p>
    <w:p w14:paraId="2B9E45F1" w14:textId="2DE44E94" w:rsidR="003428A0" w:rsidRDefault="00553C71" w:rsidP="002F4DDB">
      <w:pPr>
        <w:pStyle w:val="Listlevel1"/>
        <w:numPr>
          <w:ilvl w:val="0"/>
          <w:numId w:val="0"/>
        </w:numPr>
        <w:ind w:left="720"/>
        <w:rPr>
          <w:rFonts w:ascii="Arial" w:hAnsi="Arial" w:cs="Arial"/>
          <w:szCs w:val="24"/>
        </w:rPr>
      </w:pPr>
      <w:r w:rsidRPr="00FF60D9">
        <w:rPr>
          <w:rFonts w:ascii="Arial" w:hAnsi="Arial" w:cs="Arial"/>
          <w:szCs w:val="24"/>
        </w:rPr>
        <w:t>Also similar to the SAPR program,</w:t>
      </w:r>
      <w:r w:rsidR="00117A78" w:rsidRPr="00FF60D9">
        <w:rPr>
          <w:rFonts w:ascii="Arial" w:hAnsi="Arial" w:cs="Arial"/>
          <w:szCs w:val="24"/>
        </w:rPr>
        <w:t xml:space="preserve"> all non-victim AD members who have witnessed, or who possess credible information that an incident of IPV or child maltreatment has occurred, are mandated to make an unrestricted report within 24 hours of gaining knowledge of the incident.</w:t>
      </w:r>
      <w:r w:rsidR="008A5504" w:rsidRPr="00FF60D9">
        <w:rPr>
          <w:rStyle w:val="FootnoteReference"/>
          <w:rFonts w:ascii="Arial" w:hAnsi="Arial" w:cs="Arial"/>
          <w:szCs w:val="24"/>
        </w:rPr>
        <w:footnoteReference w:id="124"/>
      </w:r>
      <w:r w:rsidR="00117A78" w:rsidRPr="00FF60D9">
        <w:rPr>
          <w:rFonts w:ascii="Arial" w:hAnsi="Arial" w:cs="Arial"/>
          <w:szCs w:val="24"/>
        </w:rPr>
        <w:t xml:space="preserve"> This applies </w:t>
      </w:r>
      <w:r w:rsidR="008A5504" w:rsidRPr="00FF60D9">
        <w:rPr>
          <w:rFonts w:ascii="Arial" w:hAnsi="Arial" w:cs="Arial"/>
          <w:szCs w:val="24"/>
        </w:rPr>
        <w:t xml:space="preserve">to all incidents in which an active duty </w:t>
      </w:r>
      <w:r w:rsidR="00117A78" w:rsidRPr="00FF60D9">
        <w:rPr>
          <w:rFonts w:ascii="Arial" w:hAnsi="Arial" w:cs="Arial"/>
          <w:szCs w:val="24"/>
        </w:rPr>
        <w:t xml:space="preserve">member is the alleged offender, </w:t>
      </w:r>
      <w:r w:rsidR="008A5504" w:rsidRPr="00FF60D9">
        <w:rPr>
          <w:rFonts w:ascii="Arial" w:hAnsi="Arial" w:cs="Arial"/>
          <w:szCs w:val="24"/>
        </w:rPr>
        <w:t>or victim</w:t>
      </w:r>
      <w:r w:rsidR="00117A78" w:rsidRPr="00FF60D9">
        <w:rPr>
          <w:rStyle w:val="FootnoteReference"/>
          <w:rFonts w:ascii="Arial" w:hAnsi="Arial" w:cs="Arial"/>
          <w:szCs w:val="24"/>
        </w:rPr>
        <w:footnoteReference w:id="125"/>
      </w:r>
      <w:r w:rsidR="00117A78" w:rsidRPr="00FF60D9">
        <w:rPr>
          <w:rFonts w:ascii="Arial" w:hAnsi="Arial" w:cs="Arial"/>
          <w:szCs w:val="24"/>
        </w:rPr>
        <w:t xml:space="preserve">. </w:t>
      </w:r>
    </w:p>
    <w:p w14:paraId="2AA753CA" w14:textId="77777777" w:rsidR="002F4DDB" w:rsidRPr="00FF60D9" w:rsidRDefault="002F4DDB" w:rsidP="002F4DDB">
      <w:pPr>
        <w:pStyle w:val="Listlevel1"/>
        <w:numPr>
          <w:ilvl w:val="0"/>
          <w:numId w:val="0"/>
        </w:numPr>
        <w:ind w:left="720"/>
        <w:rPr>
          <w:rFonts w:ascii="Arial" w:hAnsi="Arial" w:cs="Arial"/>
          <w:szCs w:val="24"/>
        </w:rPr>
      </w:pPr>
    </w:p>
    <w:p w14:paraId="2FAF6B3B" w14:textId="77777777" w:rsidR="003C47AC" w:rsidRDefault="003428A0" w:rsidP="002F4DDB">
      <w:pPr>
        <w:pStyle w:val="Listlevel1"/>
        <w:numPr>
          <w:ilvl w:val="0"/>
          <w:numId w:val="0"/>
        </w:numPr>
        <w:ind w:left="720"/>
        <w:rPr>
          <w:rFonts w:ascii="Arial" w:hAnsi="Arial" w:cs="Arial"/>
          <w:color w:val="000000" w:themeColor="text1"/>
          <w:szCs w:val="24"/>
        </w:rPr>
      </w:pPr>
      <w:r w:rsidRPr="00FF60D9">
        <w:rPr>
          <w:rFonts w:ascii="Arial" w:hAnsi="Arial" w:cs="Arial"/>
          <w:color w:val="000000" w:themeColor="text1"/>
          <w:szCs w:val="24"/>
        </w:rPr>
        <w:t>While SA survivors have access to a critical element that serves to encourage reporting of crimes – the VA – survivors of IPV are strictly prohibited from being assigned a VA unless sexual assault is also reported.</w:t>
      </w:r>
      <w:r w:rsidRPr="00FF60D9">
        <w:rPr>
          <w:rStyle w:val="FootnoteReference"/>
          <w:rFonts w:ascii="Arial" w:hAnsi="Arial" w:cs="Arial"/>
          <w:color w:val="000000" w:themeColor="text1"/>
          <w:szCs w:val="24"/>
        </w:rPr>
        <w:footnoteReference w:id="126"/>
      </w:r>
      <w:r w:rsidRPr="00FF60D9">
        <w:rPr>
          <w:rFonts w:ascii="Arial" w:hAnsi="Arial" w:cs="Arial"/>
          <w:color w:val="000000" w:themeColor="text1"/>
          <w:szCs w:val="24"/>
        </w:rPr>
        <w:t xml:space="preserve"> As discussed previously, there are many barriers in place preventing survivors from reporting the presence of sexual abuse within a larger pattern of IPV, which may include reasons as basic as not thinking that the assaults amounted to any actionable crime worth </w:t>
      </w:r>
      <w:r w:rsidRPr="00FF60D9">
        <w:rPr>
          <w:rFonts w:ascii="Arial" w:hAnsi="Arial" w:cs="Arial"/>
          <w:color w:val="000000" w:themeColor="text1"/>
          <w:szCs w:val="24"/>
        </w:rPr>
        <w:lastRenderedPageBreak/>
        <w:t>reporting.</w:t>
      </w:r>
      <w:r w:rsidRPr="00FF60D9">
        <w:rPr>
          <w:rStyle w:val="FootnoteReference"/>
          <w:rFonts w:ascii="Arial" w:hAnsi="Arial" w:cs="Arial"/>
          <w:color w:val="000000" w:themeColor="text1"/>
          <w:szCs w:val="24"/>
        </w:rPr>
        <w:footnoteReference w:id="127"/>
      </w:r>
      <w:r w:rsidRPr="00FF60D9">
        <w:rPr>
          <w:rFonts w:ascii="Arial" w:hAnsi="Arial" w:cs="Arial"/>
          <w:color w:val="000000" w:themeColor="text1"/>
          <w:szCs w:val="24"/>
        </w:rPr>
        <w:t xml:space="preserve"> </w:t>
      </w:r>
    </w:p>
    <w:p w14:paraId="71D90085" w14:textId="77777777" w:rsidR="003C47AC" w:rsidRDefault="003C47AC" w:rsidP="002F4DDB">
      <w:pPr>
        <w:pStyle w:val="Listlevel1"/>
        <w:numPr>
          <w:ilvl w:val="0"/>
          <w:numId w:val="0"/>
        </w:numPr>
        <w:ind w:left="720"/>
        <w:rPr>
          <w:rFonts w:ascii="Arial" w:hAnsi="Arial" w:cs="Arial"/>
          <w:color w:val="000000" w:themeColor="text1"/>
          <w:szCs w:val="24"/>
        </w:rPr>
      </w:pPr>
    </w:p>
    <w:p w14:paraId="7CDD12B7" w14:textId="77B18F72" w:rsidR="003428A0" w:rsidRPr="00FF60D9" w:rsidRDefault="003428A0" w:rsidP="002F4DDB">
      <w:pPr>
        <w:pStyle w:val="Listlevel1"/>
        <w:numPr>
          <w:ilvl w:val="0"/>
          <w:numId w:val="0"/>
        </w:numPr>
        <w:ind w:left="720"/>
        <w:rPr>
          <w:rFonts w:ascii="Arial" w:hAnsi="Arial" w:cs="Arial"/>
          <w:color w:val="000000" w:themeColor="text1"/>
          <w:szCs w:val="24"/>
        </w:rPr>
      </w:pPr>
      <w:r w:rsidRPr="00FF60D9">
        <w:rPr>
          <w:rFonts w:ascii="Arial" w:hAnsi="Arial" w:cs="Arial"/>
          <w:color w:val="000000" w:themeColor="text1"/>
          <w:szCs w:val="24"/>
        </w:rPr>
        <w:t>As if not having access to a VA weren’t enough, SVC’s are also barred from assisting survivors of IPV unless an SA report accompanies their IPV experiences. The rationale for barring both of these crucial resources is that the IPV survivor may simply be referred to the FAP for assistance and advocacy there. While this sounds good on paper, the reality does not hold up to scrutiny.</w:t>
      </w:r>
    </w:p>
    <w:p w14:paraId="6070F1A4" w14:textId="2D86DF0E" w:rsidR="00A34F38" w:rsidRPr="003C47AC" w:rsidRDefault="003428A0" w:rsidP="003C47AC">
      <w:pPr>
        <w:pStyle w:val="Listlevel1"/>
        <w:numPr>
          <w:ilvl w:val="0"/>
          <w:numId w:val="0"/>
        </w:numPr>
        <w:ind w:left="720"/>
        <w:rPr>
          <w:rFonts w:ascii="Arial" w:hAnsi="Arial" w:cs="Arial"/>
          <w:color w:val="000000" w:themeColor="text1"/>
          <w:szCs w:val="24"/>
        </w:rPr>
      </w:pPr>
      <w:r w:rsidRPr="00FF60D9">
        <w:rPr>
          <w:rFonts w:ascii="Arial" w:hAnsi="Arial" w:cs="Arial"/>
          <w:color w:val="000000" w:themeColor="text1"/>
          <w:szCs w:val="24"/>
        </w:rPr>
        <w:t>While there are roughly two VA’s per unit with 50 people and approximately one SARC regionally supervising all of the VA’s</w:t>
      </w:r>
      <w:r w:rsidRPr="00FF60D9">
        <w:rPr>
          <w:rStyle w:val="FootnoteReference"/>
          <w:rFonts w:ascii="Arial" w:hAnsi="Arial" w:cs="Arial"/>
          <w:color w:val="000000" w:themeColor="text1"/>
          <w:szCs w:val="24"/>
        </w:rPr>
        <w:footnoteReference w:id="128"/>
      </w:r>
      <w:r w:rsidRPr="00FF60D9">
        <w:rPr>
          <w:rFonts w:ascii="Arial" w:hAnsi="Arial" w:cs="Arial"/>
          <w:color w:val="000000" w:themeColor="text1"/>
          <w:szCs w:val="24"/>
        </w:rPr>
        <w:t>, there are only one</w:t>
      </w:r>
      <w:r w:rsidR="003C47AC">
        <w:rPr>
          <w:rFonts w:ascii="Arial" w:hAnsi="Arial" w:cs="Arial"/>
          <w:color w:val="000000" w:themeColor="text1"/>
          <w:szCs w:val="24"/>
        </w:rPr>
        <w:t xml:space="preserve"> to a few</w:t>
      </w:r>
      <w:r w:rsidRPr="00FF60D9">
        <w:rPr>
          <w:rFonts w:ascii="Arial" w:hAnsi="Arial" w:cs="Arial"/>
          <w:color w:val="000000" w:themeColor="text1"/>
          <w:szCs w:val="24"/>
        </w:rPr>
        <w:t xml:space="preserve"> Family Advocacy Specialist (FAS) regionally</w:t>
      </w:r>
      <w:r w:rsidRPr="00FF60D9">
        <w:rPr>
          <w:rStyle w:val="FootnoteReference"/>
          <w:rFonts w:ascii="Arial" w:hAnsi="Arial" w:cs="Arial"/>
          <w:color w:val="000000" w:themeColor="text1"/>
          <w:szCs w:val="24"/>
        </w:rPr>
        <w:footnoteReference w:id="129"/>
      </w:r>
      <w:r w:rsidRPr="00FF60D9">
        <w:rPr>
          <w:rFonts w:ascii="Arial" w:hAnsi="Arial" w:cs="Arial"/>
          <w:color w:val="000000" w:themeColor="text1"/>
          <w:szCs w:val="24"/>
        </w:rPr>
        <w:t>, resulting in a case overload not unlike some of the worst social services overload stories of the day.</w:t>
      </w:r>
      <w:r w:rsidR="00B463C9" w:rsidRPr="00FF60D9">
        <w:rPr>
          <w:rFonts w:ascii="Arial" w:hAnsi="Arial" w:cs="Arial"/>
          <w:color w:val="000000" w:themeColor="text1"/>
          <w:szCs w:val="24"/>
        </w:rPr>
        <w:t xml:space="preserve"> </w:t>
      </w:r>
      <w:r w:rsidR="003C47AC">
        <w:rPr>
          <w:rFonts w:ascii="Arial" w:hAnsi="Arial" w:cs="Arial"/>
          <w:color w:val="000000" w:themeColor="text1"/>
          <w:szCs w:val="24"/>
        </w:rPr>
        <w:t>According to a 2017 Work-Life Roster, there were only fourteen open positions for an FAS, only seven of which were filled.</w:t>
      </w:r>
      <w:r w:rsidR="003C47AC">
        <w:rPr>
          <w:rStyle w:val="FootnoteReference"/>
          <w:rFonts w:ascii="Arial" w:hAnsi="Arial" w:cs="Arial"/>
          <w:color w:val="000000" w:themeColor="text1"/>
          <w:szCs w:val="24"/>
        </w:rPr>
        <w:footnoteReference w:id="130"/>
      </w:r>
      <w:r w:rsidR="003C47AC">
        <w:rPr>
          <w:rFonts w:ascii="Arial" w:hAnsi="Arial" w:cs="Arial"/>
          <w:color w:val="000000" w:themeColor="text1"/>
          <w:szCs w:val="24"/>
        </w:rPr>
        <w:t xml:space="preserve"> </w:t>
      </w:r>
      <w:r w:rsidR="00B463C9" w:rsidRPr="00FF60D9">
        <w:rPr>
          <w:rFonts w:ascii="Arial" w:hAnsi="Arial" w:cs="Arial"/>
          <w:color w:val="000000" w:themeColor="text1"/>
          <w:szCs w:val="24"/>
        </w:rPr>
        <w:t>Unlike the SARC who merely oversees training given by the VA’s and who oversees and manages cases that are worked by the VA’s, the FAS is tasked with actual family case management, which includes full counseling sessions with families (some of which span across an area of responsibility (AOR) spanning multiple states and hundreds of miles), and which also includes actually providing prevention activities in the AOR “</w:t>
      </w:r>
      <w:r w:rsidR="00B463C9" w:rsidRPr="00FF60D9">
        <w:rPr>
          <w:rFonts w:ascii="Arial" w:hAnsi="Arial" w:cs="Arial"/>
          <w:i/>
          <w:color w:val="000000" w:themeColor="text1"/>
          <w:szCs w:val="24"/>
        </w:rPr>
        <w:t>as funding permits</w:t>
      </w:r>
      <w:r w:rsidR="00B463C9" w:rsidRPr="00FF60D9">
        <w:rPr>
          <w:rFonts w:ascii="Arial" w:hAnsi="Arial" w:cs="Arial"/>
          <w:color w:val="000000" w:themeColor="text1"/>
          <w:szCs w:val="24"/>
        </w:rPr>
        <w:t>” or providing training “</w:t>
      </w:r>
      <w:r w:rsidR="00B463C9" w:rsidRPr="00FF60D9">
        <w:rPr>
          <w:rFonts w:ascii="Arial" w:hAnsi="Arial" w:cs="Arial"/>
          <w:i/>
          <w:color w:val="000000" w:themeColor="text1"/>
          <w:szCs w:val="24"/>
        </w:rPr>
        <w:t>when requested”</w:t>
      </w:r>
      <w:r w:rsidR="00B463C9" w:rsidRPr="00FF60D9">
        <w:rPr>
          <w:rFonts w:ascii="Arial" w:hAnsi="Arial" w:cs="Arial"/>
          <w:color w:val="000000" w:themeColor="text1"/>
          <w:szCs w:val="24"/>
        </w:rPr>
        <w:t xml:space="preserve">, as well as developing budgets </w:t>
      </w:r>
      <w:r w:rsidR="00B463C9" w:rsidRPr="00FF60D9">
        <w:rPr>
          <w:rFonts w:ascii="Arial" w:hAnsi="Arial" w:cs="Arial"/>
          <w:color w:val="000000" w:themeColor="text1"/>
          <w:szCs w:val="24"/>
        </w:rPr>
        <w:lastRenderedPageBreak/>
        <w:t>and assisting survivors of SA along with the SAPR program when requested.</w:t>
      </w:r>
      <w:r w:rsidR="00B463C9" w:rsidRPr="00FF60D9">
        <w:rPr>
          <w:rStyle w:val="FootnoteReference"/>
          <w:rFonts w:ascii="Arial" w:hAnsi="Arial" w:cs="Arial"/>
          <w:color w:val="000000" w:themeColor="text1"/>
          <w:szCs w:val="24"/>
        </w:rPr>
        <w:footnoteReference w:id="131"/>
      </w:r>
      <w:r w:rsidR="00B463C9" w:rsidRPr="00FF60D9">
        <w:rPr>
          <w:rFonts w:ascii="Arial" w:hAnsi="Arial" w:cs="Arial"/>
          <w:color w:val="000000" w:themeColor="text1"/>
          <w:szCs w:val="24"/>
        </w:rPr>
        <w:t xml:space="preserve"> </w:t>
      </w:r>
    </w:p>
    <w:p w14:paraId="182D9287" w14:textId="77777777" w:rsidR="001C2DAD" w:rsidRPr="00FF60D9" w:rsidRDefault="001C2DAD" w:rsidP="00FF60D9">
      <w:pPr>
        <w:spacing w:line="480" w:lineRule="auto"/>
        <w:ind w:left="720"/>
        <w:rPr>
          <w:rFonts w:ascii="Arial" w:hAnsi="Arial" w:cs="Arial"/>
        </w:rPr>
      </w:pPr>
    </w:p>
    <w:p w14:paraId="5C428288" w14:textId="4F427FFC" w:rsidR="00A053E6" w:rsidRPr="00FF60D9" w:rsidRDefault="003C47AC" w:rsidP="00FF60D9">
      <w:pPr>
        <w:pStyle w:val="ListParagraph"/>
        <w:numPr>
          <w:ilvl w:val="0"/>
          <w:numId w:val="9"/>
        </w:numPr>
        <w:spacing w:line="480" w:lineRule="auto"/>
        <w:ind w:left="720"/>
        <w:rPr>
          <w:rFonts w:ascii="Arial" w:hAnsi="Arial" w:cs="Arial"/>
          <w:b/>
        </w:rPr>
      </w:pPr>
      <w:r>
        <w:rPr>
          <w:rFonts w:ascii="Arial" w:hAnsi="Arial" w:cs="Arial"/>
          <w:b/>
        </w:rPr>
        <w:t>Analysis</w:t>
      </w:r>
    </w:p>
    <w:p w14:paraId="03F095A1" w14:textId="38272007" w:rsidR="003C47AC" w:rsidRDefault="00CD4EFB" w:rsidP="00FF60D9">
      <w:pPr>
        <w:spacing w:line="480" w:lineRule="auto"/>
        <w:ind w:left="720"/>
        <w:rPr>
          <w:rFonts w:ascii="Arial" w:hAnsi="Arial" w:cs="Arial"/>
        </w:rPr>
      </w:pPr>
      <w:r>
        <w:rPr>
          <w:rFonts w:ascii="Arial" w:hAnsi="Arial" w:cs="Arial"/>
        </w:rPr>
        <w:t>The</w:t>
      </w:r>
      <w:r w:rsidR="00142ABA" w:rsidRPr="00FF60D9">
        <w:rPr>
          <w:rFonts w:ascii="Arial" w:hAnsi="Arial" w:cs="Arial"/>
        </w:rPr>
        <w:t xml:space="preserve"> services offered to survivors vary based on whether the report did or did</w:t>
      </w:r>
      <w:r>
        <w:rPr>
          <w:rFonts w:ascii="Arial" w:hAnsi="Arial" w:cs="Arial"/>
        </w:rPr>
        <w:t xml:space="preserve"> no</w:t>
      </w:r>
      <w:r w:rsidR="00142ABA" w:rsidRPr="00FF60D9">
        <w:rPr>
          <w:rFonts w:ascii="Arial" w:hAnsi="Arial" w:cs="Arial"/>
        </w:rPr>
        <w:t>t include an element of SA</w:t>
      </w:r>
      <w:r>
        <w:rPr>
          <w:rFonts w:ascii="Arial" w:hAnsi="Arial" w:cs="Arial"/>
        </w:rPr>
        <w:t xml:space="preserve">. Drawing the line at this point – to decide who is or is not worthy of the kinds of services that foster a full and supported recovery – </w:t>
      </w:r>
      <w:r w:rsidR="00142ABA" w:rsidRPr="00FF60D9">
        <w:rPr>
          <w:rFonts w:ascii="Arial" w:hAnsi="Arial" w:cs="Arial"/>
        </w:rPr>
        <w:t>fails completely to take into account the</w:t>
      </w:r>
      <w:r>
        <w:rPr>
          <w:rFonts w:ascii="Arial" w:hAnsi="Arial" w:cs="Arial"/>
        </w:rPr>
        <w:t xml:space="preserve"> actuality of what it is to be a survivor of IPV. For instance,</w:t>
      </w:r>
      <w:r w:rsidR="00142ABA" w:rsidRPr="00FF60D9">
        <w:rPr>
          <w:rFonts w:ascii="Arial" w:hAnsi="Arial" w:cs="Arial"/>
        </w:rPr>
        <w:t xml:space="preserve"> many survivors of IPV may not report SA</w:t>
      </w:r>
      <w:r>
        <w:rPr>
          <w:rFonts w:ascii="Arial" w:hAnsi="Arial" w:cs="Arial"/>
        </w:rPr>
        <w:t xml:space="preserve"> </w:t>
      </w:r>
      <w:r w:rsidR="00142ABA" w:rsidRPr="00FF60D9">
        <w:rPr>
          <w:rFonts w:ascii="Arial" w:hAnsi="Arial" w:cs="Arial"/>
        </w:rPr>
        <w:t>even if it occurred</w:t>
      </w:r>
      <w:r>
        <w:rPr>
          <w:rFonts w:ascii="Arial" w:hAnsi="Arial" w:cs="Arial"/>
        </w:rPr>
        <w:t xml:space="preserve"> because either it is too traumatic or because they believe that spousal rape is not illegal.</w:t>
      </w:r>
      <w:r>
        <w:rPr>
          <w:rStyle w:val="FootnoteReference"/>
          <w:rFonts w:ascii="Arial" w:hAnsi="Arial" w:cs="Arial"/>
        </w:rPr>
        <w:footnoteReference w:id="132"/>
      </w:r>
      <w:r w:rsidR="00142ABA" w:rsidRPr="00FF60D9">
        <w:rPr>
          <w:rFonts w:ascii="Arial" w:hAnsi="Arial" w:cs="Arial"/>
        </w:rPr>
        <w:t xml:space="preserve"> SA victims are afforded an advocate from the moment they make their report, and are later </w:t>
      </w:r>
      <w:r>
        <w:rPr>
          <w:rFonts w:ascii="Arial" w:hAnsi="Arial" w:cs="Arial"/>
        </w:rPr>
        <w:t xml:space="preserve">given </w:t>
      </w:r>
      <w:r w:rsidR="00142ABA" w:rsidRPr="00FF60D9">
        <w:rPr>
          <w:rFonts w:ascii="Arial" w:hAnsi="Arial" w:cs="Arial"/>
        </w:rPr>
        <w:t>an SVC to walk them through every step of the legal process</w:t>
      </w:r>
      <w:r>
        <w:rPr>
          <w:rFonts w:ascii="Arial" w:hAnsi="Arial" w:cs="Arial"/>
        </w:rPr>
        <w:t>.</w:t>
      </w:r>
      <w:r>
        <w:rPr>
          <w:rStyle w:val="FootnoteReference"/>
          <w:rFonts w:ascii="Arial" w:hAnsi="Arial" w:cs="Arial"/>
        </w:rPr>
        <w:footnoteReference w:id="133"/>
      </w:r>
      <w:r w:rsidR="00142ABA" w:rsidRPr="00FF60D9">
        <w:rPr>
          <w:rFonts w:ascii="Arial" w:hAnsi="Arial" w:cs="Arial"/>
        </w:rPr>
        <w:t xml:space="preserve"> </w:t>
      </w:r>
      <w:r>
        <w:rPr>
          <w:rFonts w:ascii="Arial" w:hAnsi="Arial" w:cs="Arial"/>
        </w:rPr>
        <w:t xml:space="preserve"> These services are critical in supporting and guiding the survivor to stand by their choice to report and to move towards a justice</w:t>
      </w:r>
      <w:r w:rsidR="00142ABA" w:rsidRPr="00FF60D9">
        <w:rPr>
          <w:rFonts w:ascii="Arial" w:hAnsi="Arial" w:cs="Arial"/>
        </w:rPr>
        <w:t xml:space="preserve">. While survivors of IPV are promised an FAS to advocate for them and </w:t>
      </w:r>
      <w:r>
        <w:rPr>
          <w:rFonts w:ascii="Arial" w:hAnsi="Arial" w:cs="Arial"/>
        </w:rPr>
        <w:t>oversee</w:t>
      </w:r>
      <w:r w:rsidR="00142ABA" w:rsidRPr="00FF60D9">
        <w:rPr>
          <w:rFonts w:ascii="Arial" w:hAnsi="Arial" w:cs="Arial"/>
        </w:rPr>
        <w:t xml:space="preserve"> their case, that promise is shallow when viewed through the lens of the grossly overburdened FAP staff, and an instruction that </w:t>
      </w:r>
      <w:r w:rsidR="003C47AC">
        <w:rPr>
          <w:rFonts w:ascii="Arial" w:hAnsi="Arial" w:cs="Arial"/>
        </w:rPr>
        <w:t xml:space="preserve">fails to </w:t>
      </w:r>
      <w:r>
        <w:rPr>
          <w:rFonts w:ascii="Arial" w:hAnsi="Arial" w:cs="Arial"/>
        </w:rPr>
        <w:t xml:space="preserve">even </w:t>
      </w:r>
      <w:r w:rsidR="003C47AC">
        <w:rPr>
          <w:rFonts w:ascii="Arial" w:hAnsi="Arial" w:cs="Arial"/>
        </w:rPr>
        <w:t xml:space="preserve">provide </w:t>
      </w:r>
      <w:r>
        <w:rPr>
          <w:rFonts w:ascii="Arial" w:hAnsi="Arial" w:cs="Arial"/>
        </w:rPr>
        <w:t xml:space="preserve">the </w:t>
      </w:r>
      <w:r w:rsidR="003C47AC">
        <w:rPr>
          <w:rFonts w:ascii="Arial" w:hAnsi="Arial" w:cs="Arial"/>
        </w:rPr>
        <w:t xml:space="preserve">resources to support its </w:t>
      </w:r>
      <w:r w:rsidR="00142ABA" w:rsidRPr="00FF60D9">
        <w:rPr>
          <w:rFonts w:ascii="Arial" w:hAnsi="Arial" w:cs="Arial"/>
        </w:rPr>
        <w:t>own mandates.</w:t>
      </w:r>
    </w:p>
    <w:p w14:paraId="4FECF7DA" w14:textId="77777777" w:rsidR="003C47AC" w:rsidRDefault="003C47AC" w:rsidP="00FF60D9">
      <w:pPr>
        <w:spacing w:line="480" w:lineRule="auto"/>
        <w:ind w:left="720"/>
        <w:rPr>
          <w:rFonts w:ascii="Arial" w:hAnsi="Arial" w:cs="Arial"/>
        </w:rPr>
      </w:pPr>
    </w:p>
    <w:p w14:paraId="232F8EC4" w14:textId="7B5F3108" w:rsidR="003C47AC" w:rsidRDefault="003C47AC" w:rsidP="00FF60D9">
      <w:pPr>
        <w:spacing w:line="480" w:lineRule="auto"/>
        <w:ind w:left="720"/>
        <w:rPr>
          <w:rFonts w:ascii="Arial" w:hAnsi="Arial" w:cs="Arial"/>
        </w:rPr>
      </w:pPr>
      <w:r>
        <w:rPr>
          <w:rFonts w:ascii="Arial" w:hAnsi="Arial" w:cs="Arial"/>
        </w:rPr>
        <w:t xml:space="preserve">The </w:t>
      </w:r>
      <w:r w:rsidR="00142ABA" w:rsidRPr="00FF60D9">
        <w:rPr>
          <w:rFonts w:ascii="Arial" w:hAnsi="Arial" w:cs="Arial"/>
        </w:rPr>
        <w:t>FAP manual states that “only approximately 42 percent of all Coast Guard units are within 30 miles of a [FAP representative].”</w:t>
      </w:r>
      <w:r w:rsidR="00142ABA" w:rsidRPr="00FF60D9">
        <w:rPr>
          <w:rStyle w:val="FootnoteReference"/>
          <w:rFonts w:ascii="Arial" w:hAnsi="Arial" w:cs="Arial"/>
        </w:rPr>
        <w:footnoteReference w:id="134"/>
      </w:r>
      <w:r w:rsidR="00142ABA" w:rsidRPr="00FF60D9">
        <w:rPr>
          <w:rFonts w:ascii="Arial" w:hAnsi="Arial" w:cs="Arial"/>
        </w:rPr>
        <w:t xml:space="preserve"> Surely, how can an </w:t>
      </w:r>
      <w:r w:rsidR="00142ABA" w:rsidRPr="00FF60D9">
        <w:rPr>
          <w:rFonts w:ascii="Arial" w:hAnsi="Arial" w:cs="Arial"/>
        </w:rPr>
        <w:lastRenderedPageBreak/>
        <w:t xml:space="preserve">organization expect </w:t>
      </w:r>
      <w:r w:rsidR="00CD4EFB">
        <w:rPr>
          <w:rFonts w:ascii="Arial" w:hAnsi="Arial" w:cs="Arial"/>
        </w:rPr>
        <w:t>survivors – who exist at approximately the same rate as SA survivors – to find the appropriate support if they are not near enough an FAS for support, and if they are barred from using VA or SVC services? Further, since there is no IPV training given to members at all, how can the organization</w:t>
      </w:r>
      <w:r w:rsidR="00142ABA" w:rsidRPr="00FF60D9">
        <w:rPr>
          <w:rFonts w:ascii="Arial" w:hAnsi="Arial" w:cs="Arial"/>
        </w:rPr>
        <w:t xml:space="preserve"> mandate </w:t>
      </w:r>
      <w:r w:rsidR="00CD4EFB">
        <w:rPr>
          <w:rFonts w:ascii="Arial" w:hAnsi="Arial" w:cs="Arial"/>
        </w:rPr>
        <w:t xml:space="preserve">them </w:t>
      </w:r>
      <w:r>
        <w:rPr>
          <w:rFonts w:ascii="Arial" w:hAnsi="Arial" w:cs="Arial"/>
        </w:rPr>
        <w:t xml:space="preserve">to </w:t>
      </w:r>
      <w:r w:rsidR="00142ABA" w:rsidRPr="00FF60D9">
        <w:rPr>
          <w:rFonts w:ascii="Arial" w:hAnsi="Arial" w:cs="Arial"/>
        </w:rPr>
        <w:t>report a crime so insidious, hidden, and masterfully executed as IPV if the reporting members have never had training</w:t>
      </w:r>
      <w:r w:rsidR="00FF6AB6">
        <w:rPr>
          <w:rFonts w:ascii="Arial" w:hAnsi="Arial" w:cs="Arial"/>
        </w:rPr>
        <w:t xml:space="preserve"> or been taught what IPV even is</w:t>
      </w:r>
      <w:r w:rsidR="00142ABA" w:rsidRPr="00FF60D9">
        <w:rPr>
          <w:rFonts w:ascii="Arial" w:hAnsi="Arial" w:cs="Arial"/>
        </w:rPr>
        <w:t xml:space="preserve">? While the same mandatory reporting policy within the SAPR program is supported by mandatory, annual training for all members and employees, the FAP program </w:t>
      </w:r>
      <w:r w:rsidR="00FF6AB6">
        <w:rPr>
          <w:rFonts w:ascii="Arial" w:hAnsi="Arial" w:cs="Arial"/>
        </w:rPr>
        <w:t>has built</w:t>
      </w:r>
      <w:r w:rsidR="00142ABA" w:rsidRPr="00FF60D9">
        <w:rPr>
          <w:rFonts w:ascii="Arial" w:hAnsi="Arial" w:cs="Arial"/>
        </w:rPr>
        <w:t xml:space="preserve"> its mandatory reporting policy </w:t>
      </w:r>
      <w:r w:rsidR="00FF6AB6">
        <w:rPr>
          <w:rFonts w:ascii="Arial" w:hAnsi="Arial" w:cs="Arial"/>
        </w:rPr>
        <w:t>on sand</w:t>
      </w:r>
      <w:r w:rsidR="00142ABA" w:rsidRPr="00FF60D9">
        <w:rPr>
          <w:rFonts w:ascii="Arial" w:hAnsi="Arial" w:cs="Arial"/>
        </w:rPr>
        <w:t>.</w:t>
      </w:r>
      <w:r w:rsidR="00142ABA" w:rsidRPr="00FF60D9">
        <w:rPr>
          <w:rStyle w:val="FootnoteReference"/>
          <w:rFonts w:ascii="Arial" w:hAnsi="Arial" w:cs="Arial"/>
        </w:rPr>
        <w:footnoteReference w:id="135"/>
      </w:r>
      <w:r w:rsidR="00142ABA" w:rsidRPr="00FF60D9">
        <w:rPr>
          <w:rFonts w:ascii="Arial" w:hAnsi="Arial" w:cs="Arial"/>
        </w:rPr>
        <w:t xml:space="preserve"> </w:t>
      </w:r>
    </w:p>
    <w:p w14:paraId="6ABF9D6F" w14:textId="77777777" w:rsidR="003C47AC" w:rsidRDefault="003C47AC" w:rsidP="00FF60D9">
      <w:pPr>
        <w:spacing w:line="480" w:lineRule="auto"/>
        <w:ind w:left="720"/>
        <w:rPr>
          <w:rFonts w:ascii="Arial" w:hAnsi="Arial" w:cs="Arial"/>
        </w:rPr>
      </w:pPr>
    </w:p>
    <w:p w14:paraId="4DCF945A" w14:textId="25364613" w:rsidR="00142ABA" w:rsidRDefault="003C47AC" w:rsidP="00FF60D9">
      <w:pPr>
        <w:spacing w:line="480" w:lineRule="auto"/>
        <w:ind w:left="720"/>
        <w:rPr>
          <w:rFonts w:ascii="Arial" w:hAnsi="Arial" w:cs="Arial"/>
        </w:rPr>
      </w:pPr>
      <w:r>
        <w:rPr>
          <w:rFonts w:ascii="Arial" w:hAnsi="Arial" w:cs="Arial"/>
        </w:rPr>
        <w:t xml:space="preserve">The </w:t>
      </w:r>
      <w:r w:rsidR="00142ABA" w:rsidRPr="00FF60D9">
        <w:rPr>
          <w:rFonts w:ascii="Arial" w:hAnsi="Arial" w:cs="Arial"/>
        </w:rPr>
        <w:t xml:space="preserve"> CG recognizes</w:t>
      </w:r>
      <w:r>
        <w:rPr>
          <w:rFonts w:ascii="Arial" w:hAnsi="Arial" w:cs="Arial"/>
        </w:rPr>
        <w:t>, on the one hand,</w:t>
      </w:r>
      <w:r w:rsidR="00142ABA" w:rsidRPr="00FF60D9">
        <w:rPr>
          <w:rFonts w:ascii="Arial" w:hAnsi="Arial" w:cs="Arial"/>
        </w:rPr>
        <w:t xml:space="preserve"> that IPV is “one of the leading reasons AD Coast Guard personnel are arrested by civilian authorities” yet</w:t>
      </w:r>
      <w:r>
        <w:rPr>
          <w:rFonts w:ascii="Arial" w:hAnsi="Arial" w:cs="Arial"/>
        </w:rPr>
        <w:t xml:space="preserve">, </w:t>
      </w:r>
      <w:r w:rsidR="00142ABA" w:rsidRPr="00FF60D9">
        <w:rPr>
          <w:rFonts w:ascii="Arial" w:hAnsi="Arial" w:cs="Arial"/>
        </w:rPr>
        <w:t>on the other hand</w:t>
      </w:r>
      <w:r>
        <w:rPr>
          <w:rFonts w:ascii="Arial" w:hAnsi="Arial" w:cs="Arial"/>
        </w:rPr>
        <w:t>, focuses its</w:t>
      </w:r>
      <w:r w:rsidR="00142ABA" w:rsidRPr="00FF60D9">
        <w:rPr>
          <w:rFonts w:ascii="Arial" w:hAnsi="Arial" w:cs="Arial"/>
        </w:rPr>
        <w:t xml:space="preserve"> primary and secondary prevention effort</w:t>
      </w:r>
      <w:r>
        <w:rPr>
          <w:rFonts w:ascii="Arial" w:hAnsi="Arial" w:cs="Arial"/>
        </w:rPr>
        <w:t>s</w:t>
      </w:r>
      <w:r w:rsidR="00142ABA" w:rsidRPr="00FF60D9">
        <w:rPr>
          <w:rFonts w:ascii="Arial" w:hAnsi="Arial" w:cs="Arial"/>
        </w:rPr>
        <w:t xml:space="preserve"> almost exclusively on improving couple communication, and providing methods to cope with marital stress, to improve parental bonding, and other </w:t>
      </w:r>
      <w:r w:rsidR="00142ABA" w:rsidRPr="00FF60D9">
        <w:rPr>
          <w:rFonts w:ascii="Arial" w:hAnsi="Arial" w:cs="Arial"/>
          <w:i/>
        </w:rPr>
        <w:t>family related</w:t>
      </w:r>
      <w:r w:rsidR="00142ABA" w:rsidRPr="00FF60D9">
        <w:rPr>
          <w:rFonts w:ascii="Arial" w:hAnsi="Arial" w:cs="Arial"/>
        </w:rPr>
        <w:t xml:space="preserve"> measures.</w:t>
      </w:r>
      <w:r w:rsidR="00142ABA" w:rsidRPr="00FF60D9">
        <w:rPr>
          <w:rStyle w:val="FootnoteReference"/>
          <w:rFonts w:ascii="Arial" w:hAnsi="Arial" w:cs="Arial"/>
        </w:rPr>
        <w:footnoteReference w:id="136"/>
      </w:r>
      <w:r w:rsidR="00142ABA" w:rsidRPr="00FF60D9">
        <w:rPr>
          <w:rFonts w:ascii="Arial" w:hAnsi="Arial" w:cs="Arial"/>
        </w:rPr>
        <w:t xml:space="preserve"> This </w:t>
      </w:r>
      <w:r>
        <w:rPr>
          <w:rFonts w:ascii="Arial" w:hAnsi="Arial" w:cs="Arial"/>
        </w:rPr>
        <w:t xml:space="preserve">is a useless and senseless contradiction that, while recognizing the criminal nature of IPV, reverts back to treating the problem as a family matter that stays in the home and out of the workplace. This language </w:t>
      </w:r>
      <w:r w:rsidR="00142ABA" w:rsidRPr="00FF60D9">
        <w:rPr>
          <w:rFonts w:ascii="Arial" w:hAnsi="Arial" w:cs="Arial"/>
        </w:rPr>
        <w:t>may reinforce to some members the idea that it is best to stay out of a couple’s turmoil and not say anything, an idea that directly undermines the policy’s strict mandatory reporting requirement</w:t>
      </w:r>
      <w:r>
        <w:rPr>
          <w:rFonts w:ascii="Arial" w:hAnsi="Arial" w:cs="Arial"/>
        </w:rPr>
        <w:t xml:space="preserve"> and general </w:t>
      </w:r>
      <w:r w:rsidR="00214C11">
        <w:rPr>
          <w:rFonts w:ascii="Arial" w:hAnsi="Arial" w:cs="Arial"/>
        </w:rPr>
        <w:t xml:space="preserve">organizational </w:t>
      </w:r>
      <w:r>
        <w:rPr>
          <w:rFonts w:ascii="Arial" w:hAnsi="Arial" w:cs="Arial"/>
        </w:rPr>
        <w:t>stance</w:t>
      </w:r>
      <w:r w:rsidR="00214C11">
        <w:rPr>
          <w:rFonts w:ascii="Arial" w:hAnsi="Arial" w:cs="Arial"/>
        </w:rPr>
        <w:t xml:space="preserve"> towards offender accountability, and view</w:t>
      </w:r>
      <w:r>
        <w:rPr>
          <w:rFonts w:ascii="Arial" w:hAnsi="Arial" w:cs="Arial"/>
        </w:rPr>
        <w:t xml:space="preserve"> that </w:t>
      </w:r>
      <w:r w:rsidR="00214C11">
        <w:rPr>
          <w:rFonts w:ascii="Arial" w:hAnsi="Arial" w:cs="Arial"/>
        </w:rPr>
        <w:lastRenderedPageBreak/>
        <w:t>there are no bystanders in the CG</w:t>
      </w:r>
      <w:r w:rsidR="00142ABA" w:rsidRPr="00FF60D9">
        <w:rPr>
          <w:rFonts w:ascii="Arial" w:hAnsi="Arial" w:cs="Arial"/>
        </w:rPr>
        <w:t>.</w:t>
      </w:r>
      <w:r w:rsidR="00142ABA" w:rsidRPr="00FF60D9">
        <w:rPr>
          <w:rStyle w:val="FootnoteReference"/>
          <w:rFonts w:ascii="Arial" w:hAnsi="Arial" w:cs="Arial"/>
        </w:rPr>
        <w:footnoteReference w:id="137"/>
      </w:r>
      <w:r w:rsidR="00142ABA" w:rsidRPr="00FF60D9">
        <w:rPr>
          <w:rFonts w:ascii="Arial" w:hAnsi="Arial" w:cs="Arial"/>
        </w:rPr>
        <w:t xml:space="preserve"> </w:t>
      </w:r>
      <w:r w:rsidR="00FF6AB6">
        <w:rPr>
          <w:rFonts w:ascii="Arial" w:hAnsi="Arial" w:cs="Arial"/>
        </w:rPr>
        <w:t>The CG has put forward strong language since at least 2010 that SA is not a personal matter, but that it is a crime that is intolerable in the CG.</w:t>
      </w:r>
      <w:r w:rsidR="00FF6AB6">
        <w:rPr>
          <w:rStyle w:val="FootnoteReference"/>
          <w:rFonts w:ascii="Arial" w:hAnsi="Arial" w:cs="Arial"/>
        </w:rPr>
        <w:footnoteReference w:id="138"/>
      </w:r>
      <w:r w:rsidR="00FF6AB6">
        <w:rPr>
          <w:rFonts w:ascii="Arial" w:hAnsi="Arial" w:cs="Arial"/>
        </w:rPr>
        <w:t xml:space="preserve"> Because the CG has jurisdiction over its members via the UCMJ, it is fitting to use this strong language to shape the culture into one that does not tolerate hush-hush commission of the crime of rape or SA. It is long past time for the CG to take the same stance with respect to IPV. Violence against intimate partners is the same violence captured in assault, threat, and stalking UCMJ articles and should be equally as intolerable as SA is within the organization, even if that violence occurs in the home.</w:t>
      </w:r>
    </w:p>
    <w:p w14:paraId="100B3982" w14:textId="77777777" w:rsidR="00FF6AB6" w:rsidRPr="00FF60D9" w:rsidRDefault="00FF6AB6" w:rsidP="00FF60D9">
      <w:pPr>
        <w:spacing w:line="480" w:lineRule="auto"/>
        <w:ind w:left="720"/>
        <w:rPr>
          <w:rFonts w:ascii="Arial" w:hAnsi="Arial" w:cs="Arial"/>
          <w:color w:val="000000" w:themeColor="text1"/>
        </w:rPr>
      </w:pPr>
    </w:p>
    <w:p w14:paraId="0F0A694E" w14:textId="300506C1" w:rsidR="00142ABA" w:rsidRPr="00214C11" w:rsidRDefault="00214C11" w:rsidP="00214C11">
      <w:pPr>
        <w:pStyle w:val="ListParagraph"/>
        <w:numPr>
          <w:ilvl w:val="0"/>
          <w:numId w:val="9"/>
        </w:numPr>
        <w:spacing w:line="480" w:lineRule="auto"/>
        <w:rPr>
          <w:rFonts w:ascii="Arial" w:hAnsi="Arial" w:cs="Arial"/>
          <w:b/>
        </w:rPr>
      </w:pPr>
      <w:r w:rsidRPr="00214C11">
        <w:rPr>
          <w:rFonts w:ascii="Arial" w:hAnsi="Arial" w:cs="Arial"/>
          <w:b/>
        </w:rPr>
        <w:t>Recommendations</w:t>
      </w:r>
    </w:p>
    <w:p w14:paraId="6B07D4F0" w14:textId="7385C655" w:rsidR="001C2DAD" w:rsidRPr="00FF60D9" w:rsidRDefault="001C2DAD" w:rsidP="00214C11">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t xml:space="preserve">There are </w:t>
      </w:r>
      <w:r w:rsidR="005F6D65" w:rsidRPr="00FF60D9">
        <w:rPr>
          <w:rFonts w:ascii="Arial" w:eastAsia="Times New Roman" w:hAnsi="Arial" w:cs="Arial"/>
          <w:color w:val="000000"/>
          <w:shd w:val="clear" w:color="auto" w:fill="FFFFFF"/>
        </w:rPr>
        <w:t xml:space="preserve">four </w:t>
      </w:r>
      <w:r w:rsidRPr="00FF60D9">
        <w:rPr>
          <w:rFonts w:ascii="Arial" w:eastAsia="Times New Roman" w:hAnsi="Arial" w:cs="Arial"/>
          <w:color w:val="000000"/>
          <w:shd w:val="clear" w:color="auto" w:fill="FFFFFF"/>
        </w:rPr>
        <w:t xml:space="preserve">primary recommendations that track the success of the SAPR program over the last six years that the CG </w:t>
      </w:r>
      <w:r w:rsidR="00FF6AB6">
        <w:rPr>
          <w:rFonts w:ascii="Arial" w:eastAsia="Times New Roman" w:hAnsi="Arial" w:cs="Arial"/>
          <w:color w:val="000000"/>
          <w:shd w:val="clear" w:color="auto" w:fill="FFFFFF"/>
        </w:rPr>
        <w:t>can</w:t>
      </w:r>
      <w:r w:rsidRPr="00FF60D9">
        <w:rPr>
          <w:rFonts w:ascii="Arial" w:eastAsia="Times New Roman" w:hAnsi="Arial" w:cs="Arial"/>
          <w:color w:val="000000"/>
          <w:shd w:val="clear" w:color="auto" w:fill="FFFFFF"/>
        </w:rPr>
        <w:t xml:space="preserve"> implement</w:t>
      </w:r>
      <w:r w:rsidR="00FF6AB6">
        <w:rPr>
          <w:rFonts w:ascii="Arial" w:eastAsia="Times New Roman" w:hAnsi="Arial" w:cs="Arial"/>
          <w:color w:val="000000"/>
          <w:shd w:val="clear" w:color="auto" w:fill="FFFFFF"/>
        </w:rPr>
        <w:t xml:space="preserve"> with relative ease.</w:t>
      </w:r>
      <w:r w:rsidRPr="00FF60D9">
        <w:rPr>
          <w:rFonts w:ascii="Arial" w:eastAsia="Times New Roman" w:hAnsi="Arial" w:cs="Arial"/>
          <w:color w:val="000000"/>
          <w:shd w:val="clear" w:color="auto" w:fill="FFFFFF"/>
        </w:rPr>
        <w:t xml:space="preserve"> These recommendations serve to 1) level the disparity and tension felt between survivors of violence against women by providing the same assistance no matter which ty</w:t>
      </w:r>
      <w:r w:rsidR="00D947C2" w:rsidRPr="00FF60D9">
        <w:rPr>
          <w:rFonts w:ascii="Arial" w:eastAsia="Times New Roman" w:hAnsi="Arial" w:cs="Arial"/>
          <w:color w:val="000000"/>
          <w:shd w:val="clear" w:color="auto" w:fill="FFFFFF"/>
        </w:rPr>
        <w:t>pe of violence the survivor suffered</w:t>
      </w:r>
      <w:r w:rsidRPr="00FF60D9">
        <w:rPr>
          <w:rFonts w:ascii="Arial" w:eastAsia="Times New Roman" w:hAnsi="Arial" w:cs="Arial"/>
          <w:color w:val="000000"/>
          <w:shd w:val="clear" w:color="auto" w:fill="FFFFFF"/>
        </w:rPr>
        <w:t xml:space="preserve">; 2) encourage reporting by ensuring survivors that they </w:t>
      </w:r>
      <w:r w:rsidR="00D77780" w:rsidRPr="00FF60D9">
        <w:rPr>
          <w:rFonts w:ascii="Arial" w:eastAsia="Times New Roman" w:hAnsi="Arial" w:cs="Arial"/>
          <w:color w:val="000000"/>
          <w:shd w:val="clear" w:color="auto" w:fill="FFFFFF"/>
        </w:rPr>
        <w:t xml:space="preserve">will be provided the same safety and advocacy </w:t>
      </w:r>
      <w:r w:rsidR="00D947C2" w:rsidRPr="00FF60D9">
        <w:rPr>
          <w:rFonts w:ascii="Arial" w:eastAsia="Times New Roman" w:hAnsi="Arial" w:cs="Arial"/>
          <w:color w:val="000000"/>
          <w:shd w:val="clear" w:color="auto" w:fill="FFFFFF"/>
        </w:rPr>
        <w:t>before, t</w:t>
      </w:r>
      <w:r w:rsidR="00D77780" w:rsidRPr="00FF60D9">
        <w:rPr>
          <w:rFonts w:ascii="Arial" w:eastAsia="Times New Roman" w:hAnsi="Arial" w:cs="Arial"/>
          <w:color w:val="000000"/>
          <w:shd w:val="clear" w:color="auto" w:fill="FFFFFF"/>
        </w:rPr>
        <w:t>hroughout</w:t>
      </w:r>
      <w:r w:rsidR="00D947C2" w:rsidRPr="00FF60D9">
        <w:rPr>
          <w:rFonts w:ascii="Arial" w:eastAsia="Times New Roman" w:hAnsi="Arial" w:cs="Arial"/>
          <w:color w:val="000000"/>
          <w:shd w:val="clear" w:color="auto" w:fill="FFFFFF"/>
        </w:rPr>
        <w:t>, and after</w:t>
      </w:r>
      <w:r w:rsidR="00D77780" w:rsidRPr="00FF60D9">
        <w:rPr>
          <w:rFonts w:ascii="Arial" w:eastAsia="Times New Roman" w:hAnsi="Arial" w:cs="Arial"/>
          <w:color w:val="000000"/>
          <w:shd w:val="clear" w:color="auto" w:fill="FFFFFF"/>
        </w:rPr>
        <w:t xml:space="preserve"> the </w:t>
      </w:r>
      <w:r w:rsidR="00D947C2" w:rsidRPr="00FF60D9">
        <w:rPr>
          <w:rFonts w:ascii="Arial" w:eastAsia="Times New Roman" w:hAnsi="Arial" w:cs="Arial"/>
          <w:color w:val="000000"/>
          <w:shd w:val="clear" w:color="auto" w:fill="FFFFFF"/>
        </w:rPr>
        <w:t xml:space="preserve">reporting or </w:t>
      </w:r>
      <w:r w:rsidR="00D77780" w:rsidRPr="00FF60D9">
        <w:rPr>
          <w:rFonts w:ascii="Arial" w:eastAsia="Times New Roman" w:hAnsi="Arial" w:cs="Arial"/>
          <w:color w:val="000000"/>
          <w:shd w:val="clear" w:color="auto" w:fill="FFFFFF"/>
        </w:rPr>
        <w:t>criminal trial process; and 3) follow through with the idea that violence has no place in the CG by holding offenders accountable through more informed and willing bystanders, and through reporting that is more likely to be sustained throughout the legal process.</w:t>
      </w:r>
    </w:p>
    <w:p w14:paraId="25E61125" w14:textId="77777777" w:rsidR="00D77780" w:rsidRPr="00FF60D9" w:rsidRDefault="00D77780" w:rsidP="00214C11">
      <w:pPr>
        <w:spacing w:line="480" w:lineRule="auto"/>
        <w:ind w:left="360"/>
        <w:rPr>
          <w:rFonts w:ascii="Arial" w:eastAsia="Times New Roman" w:hAnsi="Arial" w:cs="Arial"/>
          <w:color w:val="000000"/>
          <w:shd w:val="clear" w:color="auto" w:fill="FFFFFF"/>
        </w:rPr>
      </w:pPr>
    </w:p>
    <w:p w14:paraId="6998F64A" w14:textId="3B4E8ADA" w:rsidR="00D77780" w:rsidRPr="00FF60D9" w:rsidRDefault="00D77780" w:rsidP="00813C7A">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lastRenderedPageBreak/>
        <w:t>First, the CG should re-allocate funding into the FAP program to allow it to hire more FAS’s so that the rest of the recommendations may be undertaken responsibly. With only two FAS’s covering all of the CG land units and ships from Provincetown, MA all the way to Eastport, ME and Burlington, VT, it is literally impossible for annual training to take place in between all of the cases those FAS’s have to manage in between their other duties.</w:t>
      </w:r>
      <w:r w:rsidR="00FF6AB6">
        <w:rPr>
          <w:rStyle w:val="FootnoteReference"/>
          <w:rFonts w:ascii="Arial" w:eastAsia="Times New Roman" w:hAnsi="Arial" w:cs="Arial"/>
          <w:color w:val="000000"/>
          <w:shd w:val="clear" w:color="auto" w:fill="FFFFFF"/>
        </w:rPr>
        <w:footnoteReference w:id="139"/>
      </w:r>
      <w:r w:rsidRPr="00FF60D9">
        <w:rPr>
          <w:rFonts w:ascii="Arial" w:eastAsia="Times New Roman" w:hAnsi="Arial" w:cs="Arial"/>
          <w:color w:val="000000"/>
          <w:shd w:val="clear" w:color="auto" w:fill="FFFFFF"/>
        </w:rPr>
        <w:t xml:space="preserve"> In giving more funding to FAP, the priority should be in hiring more licensed FAS’s so that the workload between education, case management, and other duties can be split up effectively so that all of the people within the </w:t>
      </w:r>
      <w:r w:rsidR="00813C7A">
        <w:rPr>
          <w:rFonts w:ascii="Arial" w:eastAsia="Times New Roman" w:hAnsi="Arial" w:cs="Arial"/>
          <w:color w:val="000000"/>
          <w:shd w:val="clear" w:color="auto" w:fill="FFFFFF"/>
        </w:rPr>
        <w:t>area of responsibility (</w:t>
      </w:r>
      <w:r w:rsidRPr="00FF60D9">
        <w:rPr>
          <w:rFonts w:ascii="Arial" w:eastAsia="Times New Roman" w:hAnsi="Arial" w:cs="Arial"/>
          <w:color w:val="000000"/>
          <w:shd w:val="clear" w:color="auto" w:fill="FFFFFF"/>
        </w:rPr>
        <w:t>AOR</w:t>
      </w:r>
      <w:r w:rsidR="00813C7A">
        <w:rPr>
          <w:rFonts w:ascii="Arial" w:eastAsia="Times New Roman" w:hAnsi="Arial" w:cs="Arial"/>
          <w:color w:val="000000"/>
          <w:shd w:val="clear" w:color="auto" w:fill="FFFFFF"/>
        </w:rPr>
        <w:t>)</w:t>
      </w:r>
      <w:r w:rsidRPr="00FF60D9">
        <w:rPr>
          <w:rFonts w:ascii="Arial" w:eastAsia="Times New Roman" w:hAnsi="Arial" w:cs="Arial"/>
          <w:color w:val="000000"/>
          <w:shd w:val="clear" w:color="auto" w:fill="FFFFFF"/>
        </w:rPr>
        <w:t xml:space="preserve"> may be properly served. In lieu of additional funding, the CG should require, through reasonable and implementable bounds, each unit to have set up within its own Standard Operation Procedure, a relationship with the local IPV resource center so the community may provide education and advocacy that the CG </w:t>
      </w:r>
      <w:r w:rsidR="00813C7A">
        <w:rPr>
          <w:rFonts w:ascii="Arial" w:eastAsia="Times New Roman" w:hAnsi="Arial" w:cs="Arial"/>
          <w:color w:val="000000"/>
          <w:shd w:val="clear" w:color="auto" w:fill="FFFFFF"/>
        </w:rPr>
        <w:t xml:space="preserve">fails to provide for </w:t>
      </w:r>
      <w:r w:rsidRPr="00FF60D9">
        <w:rPr>
          <w:rFonts w:ascii="Arial" w:eastAsia="Times New Roman" w:hAnsi="Arial" w:cs="Arial"/>
          <w:color w:val="000000"/>
          <w:shd w:val="clear" w:color="auto" w:fill="FFFFFF"/>
        </w:rPr>
        <w:t xml:space="preserve">its </w:t>
      </w:r>
      <w:r w:rsidR="00813C7A">
        <w:rPr>
          <w:rFonts w:ascii="Arial" w:eastAsia="Times New Roman" w:hAnsi="Arial" w:cs="Arial"/>
          <w:color w:val="000000"/>
          <w:shd w:val="clear" w:color="auto" w:fill="FFFFFF"/>
        </w:rPr>
        <w:t xml:space="preserve">own </w:t>
      </w:r>
      <w:r w:rsidRPr="00FF60D9">
        <w:rPr>
          <w:rFonts w:ascii="Arial" w:eastAsia="Times New Roman" w:hAnsi="Arial" w:cs="Arial"/>
          <w:color w:val="000000"/>
          <w:shd w:val="clear" w:color="auto" w:fill="FFFFFF"/>
        </w:rPr>
        <w:t>members.</w:t>
      </w:r>
    </w:p>
    <w:p w14:paraId="19657269" w14:textId="77777777" w:rsidR="00D77780" w:rsidRPr="00FF60D9" w:rsidRDefault="00D77780" w:rsidP="00214C11">
      <w:pPr>
        <w:spacing w:line="480" w:lineRule="auto"/>
        <w:ind w:left="360"/>
        <w:rPr>
          <w:rFonts w:ascii="Arial" w:eastAsia="Times New Roman" w:hAnsi="Arial" w:cs="Arial"/>
          <w:color w:val="000000"/>
          <w:shd w:val="clear" w:color="auto" w:fill="FFFFFF"/>
        </w:rPr>
      </w:pPr>
    </w:p>
    <w:p w14:paraId="27274BE1" w14:textId="07BCEB13" w:rsidR="00813C7A" w:rsidRDefault="00D77780" w:rsidP="00214C11">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t xml:space="preserve">Second, the CG should </w:t>
      </w:r>
      <w:r w:rsidR="00AE2CDB" w:rsidRPr="00FF60D9">
        <w:rPr>
          <w:rFonts w:ascii="Arial" w:eastAsia="Times New Roman" w:hAnsi="Arial" w:cs="Arial"/>
          <w:color w:val="000000"/>
          <w:shd w:val="clear" w:color="auto" w:fill="FFFFFF"/>
        </w:rPr>
        <w:t xml:space="preserve">re-evaluate the resources provided to survivors of SA and allow those to be provided to survivors of IPV as well. VA’s are </w:t>
      </w:r>
      <w:r w:rsidR="00813C7A">
        <w:rPr>
          <w:rFonts w:ascii="Arial" w:eastAsia="Times New Roman" w:hAnsi="Arial" w:cs="Arial"/>
          <w:color w:val="000000"/>
          <w:shd w:val="clear" w:color="auto" w:fill="FFFFFF"/>
        </w:rPr>
        <w:t xml:space="preserve">a critical resource for survivors of interpersonal violence </w:t>
      </w:r>
      <w:r w:rsidR="00AE2CDB" w:rsidRPr="00FF60D9">
        <w:rPr>
          <w:rFonts w:ascii="Arial" w:eastAsia="Times New Roman" w:hAnsi="Arial" w:cs="Arial"/>
          <w:color w:val="000000"/>
          <w:shd w:val="clear" w:color="auto" w:fill="FFFFFF"/>
        </w:rPr>
        <w:t>because an individual is reporting a deeply traumatic crime against their person, crimes which often</w:t>
      </w:r>
      <w:r w:rsidR="00813C7A">
        <w:rPr>
          <w:rFonts w:ascii="Arial" w:eastAsia="Times New Roman" w:hAnsi="Arial" w:cs="Arial"/>
          <w:color w:val="000000"/>
          <w:shd w:val="clear" w:color="auto" w:fill="FFFFFF"/>
        </w:rPr>
        <w:t xml:space="preserve"> come with harmful psychological coping mechanisms,</w:t>
      </w:r>
      <w:r w:rsidR="00813C7A">
        <w:rPr>
          <w:rStyle w:val="FootnoteReference"/>
          <w:rFonts w:ascii="Arial" w:eastAsia="Times New Roman" w:hAnsi="Arial" w:cs="Arial"/>
          <w:color w:val="000000"/>
          <w:shd w:val="clear" w:color="auto" w:fill="FFFFFF"/>
        </w:rPr>
        <w:footnoteReference w:id="140"/>
      </w:r>
      <w:r w:rsidR="00813C7A">
        <w:rPr>
          <w:rFonts w:ascii="Arial" w:eastAsia="Times New Roman" w:hAnsi="Arial" w:cs="Arial"/>
          <w:color w:val="000000"/>
          <w:shd w:val="clear" w:color="auto" w:fill="FFFFFF"/>
        </w:rPr>
        <w:t xml:space="preserve"> embarrassment and humiliation, and</w:t>
      </w:r>
      <w:r w:rsidR="00AE2CDB" w:rsidRPr="00FF60D9">
        <w:rPr>
          <w:rFonts w:ascii="Arial" w:eastAsia="Times New Roman" w:hAnsi="Arial" w:cs="Arial"/>
          <w:color w:val="000000"/>
          <w:shd w:val="clear" w:color="auto" w:fill="FFFFFF"/>
        </w:rPr>
        <w:t xml:space="preserve"> retaliation within the workplace</w:t>
      </w:r>
      <w:r w:rsidR="00813C7A">
        <w:rPr>
          <w:rFonts w:ascii="Arial" w:eastAsia="Times New Roman" w:hAnsi="Arial" w:cs="Arial"/>
          <w:color w:val="000000"/>
          <w:shd w:val="clear" w:color="auto" w:fill="FFFFFF"/>
        </w:rPr>
        <w:t>.</w:t>
      </w:r>
      <w:r w:rsidR="00813C7A">
        <w:rPr>
          <w:rStyle w:val="FootnoteReference"/>
          <w:rFonts w:ascii="Arial" w:eastAsia="Times New Roman" w:hAnsi="Arial" w:cs="Arial"/>
          <w:color w:val="000000"/>
          <w:shd w:val="clear" w:color="auto" w:fill="FFFFFF"/>
        </w:rPr>
        <w:footnoteReference w:id="141"/>
      </w:r>
      <w:r w:rsidR="00813C7A">
        <w:rPr>
          <w:rFonts w:ascii="Arial" w:eastAsia="Times New Roman" w:hAnsi="Arial" w:cs="Arial"/>
          <w:color w:val="000000"/>
          <w:shd w:val="clear" w:color="auto" w:fill="FFFFFF"/>
        </w:rPr>
        <w:t xml:space="preserve"> </w:t>
      </w:r>
      <w:r w:rsidR="00AE2CDB" w:rsidRPr="00FF60D9">
        <w:rPr>
          <w:rFonts w:ascii="Arial" w:eastAsia="Times New Roman" w:hAnsi="Arial" w:cs="Arial"/>
          <w:color w:val="000000"/>
          <w:shd w:val="clear" w:color="auto" w:fill="FFFFFF"/>
        </w:rPr>
        <w:t xml:space="preserve">SA is not substantially different from IPV in this way, rather, they </w:t>
      </w:r>
      <w:r w:rsidR="00813C7A">
        <w:rPr>
          <w:rFonts w:ascii="Arial" w:eastAsia="Times New Roman" w:hAnsi="Arial" w:cs="Arial"/>
          <w:color w:val="000000"/>
          <w:shd w:val="clear" w:color="auto" w:fill="FFFFFF"/>
        </w:rPr>
        <w:t xml:space="preserve">produce similar and often indistinguishable results, if they are not </w:t>
      </w:r>
      <w:r w:rsidR="00AE2CDB" w:rsidRPr="00FF60D9">
        <w:rPr>
          <w:rFonts w:ascii="Arial" w:eastAsia="Times New Roman" w:hAnsi="Arial" w:cs="Arial"/>
          <w:color w:val="000000"/>
          <w:shd w:val="clear" w:color="auto" w:fill="FFFFFF"/>
        </w:rPr>
        <w:lastRenderedPageBreak/>
        <w:t>cooccurring.</w:t>
      </w:r>
      <w:r w:rsidR="00813C7A">
        <w:rPr>
          <w:rStyle w:val="FootnoteReference"/>
          <w:rFonts w:ascii="Arial" w:eastAsia="Times New Roman" w:hAnsi="Arial" w:cs="Arial"/>
          <w:color w:val="000000"/>
          <w:shd w:val="clear" w:color="auto" w:fill="FFFFFF"/>
        </w:rPr>
        <w:footnoteReference w:id="142"/>
      </w:r>
      <w:r w:rsidR="00AE2CDB" w:rsidRPr="00FF60D9">
        <w:rPr>
          <w:rFonts w:ascii="Arial" w:eastAsia="Times New Roman" w:hAnsi="Arial" w:cs="Arial"/>
          <w:color w:val="000000"/>
          <w:shd w:val="clear" w:color="auto" w:fill="FFFFFF"/>
        </w:rPr>
        <w:t xml:space="preserve"> </w:t>
      </w:r>
      <w:r w:rsidR="007B42A5">
        <w:rPr>
          <w:rFonts w:ascii="Arial" w:eastAsia="Times New Roman" w:hAnsi="Arial" w:cs="Arial"/>
          <w:color w:val="000000"/>
          <w:shd w:val="clear" w:color="auto" w:fill="FFFFFF"/>
        </w:rPr>
        <w:t>Currently, the VA’s are credentialed through the National Organization for Victim Assistance (NOVA).</w:t>
      </w:r>
      <w:r w:rsidR="007B42A5" w:rsidRPr="007B42A5">
        <w:rPr>
          <w:rStyle w:val="FootnoteReference"/>
          <w:rFonts w:ascii="Arial" w:eastAsia="Times New Roman" w:hAnsi="Arial" w:cs="Arial"/>
          <w:color w:val="000000"/>
          <w:shd w:val="clear" w:color="auto" w:fill="FFFFFF"/>
        </w:rPr>
        <w:t xml:space="preserve"> </w:t>
      </w:r>
      <w:r w:rsidR="007B42A5">
        <w:rPr>
          <w:rStyle w:val="FootnoteReference"/>
          <w:rFonts w:ascii="Arial" w:eastAsia="Times New Roman" w:hAnsi="Arial" w:cs="Arial"/>
          <w:color w:val="000000"/>
          <w:shd w:val="clear" w:color="auto" w:fill="FFFFFF"/>
        </w:rPr>
        <w:footnoteReference w:id="143"/>
      </w:r>
      <w:r w:rsidR="007B42A5">
        <w:rPr>
          <w:rFonts w:ascii="Arial" w:eastAsia="Times New Roman" w:hAnsi="Arial" w:cs="Arial"/>
          <w:color w:val="000000"/>
          <w:shd w:val="clear" w:color="auto" w:fill="FFFFFF"/>
        </w:rPr>
        <w:t xml:space="preserve"> NOVA offers two avenues for credentialing, the DOD track which is a specific sexual assault advocate training for SARCs and VAs, or the National Advocate Credentialing Program (NACP) which is a generalized training for “crime victim” advocates.</w:t>
      </w:r>
      <w:r w:rsidR="007B42A5">
        <w:rPr>
          <w:rStyle w:val="FootnoteReference"/>
          <w:rFonts w:ascii="Arial" w:eastAsia="Times New Roman" w:hAnsi="Arial" w:cs="Arial"/>
          <w:color w:val="000000"/>
          <w:shd w:val="clear" w:color="auto" w:fill="FFFFFF"/>
        </w:rPr>
        <w:footnoteReference w:id="144"/>
      </w:r>
      <w:r w:rsidR="007B42A5">
        <w:rPr>
          <w:rFonts w:ascii="Arial" w:eastAsia="Times New Roman" w:hAnsi="Arial" w:cs="Arial"/>
          <w:color w:val="000000"/>
          <w:shd w:val="clear" w:color="auto" w:fill="FFFFFF"/>
        </w:rPr>
        <w:t xml:space="preserve">  The Coast Guard states that because it is not a DOD component, it will credential its members under the civilian model. This credentialing distinction puts the CG VAs in a unique position to provide advocacy for victims of IPV because their credentialing training is inclusive of individuals who have experienced crime other than SA and only SA. That the CG continues to bar VAs from assisting IPV victims when they are adequately trained and credentialed to do so is nothing more than willful denial of a critical service to a large group of suffering individuals.</w:t>
      </w:r>
    </w:p>
    <w:p w14:paraId="147A0CBE" w14:textId="77777777" w:rsidR="00813C7A" w:rsidRDefault="00813C7A" w:rsidP="00214C11">
      <w:pPr>
        <w:spacing w:line="480" w:lineRule="auto"/>
        <w:ind w:left="360"/>
        <w:rPr>
          <w:rFonts w:ascii="Arial" w:eastAsia="Times New Roman" w:hAnsi="Arial" w:cs="Arial"/>
          <w:color w:val="000000"/>
          <w:shd w:val="clear" w:color="auto" w:fill="FFFFFF"/>
        </w:rPr>
      </w:pPr>
    </w:p>
    <w:p w14:paraId="341FCA63" w14:textId="77777777" w:rsidR="00725C05" w:rsidRDefault="00AE2CDB" w:rsidP="00214C11">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t xml:space="preserve">Similarly, SVC’s should be provided for survivors of IPV who have made an unrestricted report and are facing </w:t>
      </w:r>
      <w:r w:rsidR="00813C7A">
        <w:rPr>
          <w:rFonts w:ascii="Arial" w:eastAsia="Times New Roman" w:hAnsi="Arial" w:cs="Arial"/>
          <w:color w:val="000000"/>
          <w:shd w:val="clear" w:color="auto" w:fill="FFFFFF"/>
        </w:rPr>
        <w:t>a criminal case</w:t>
      </w:r>
      <w:r w:rsidRPr="00FF60D9">
        <w:rPr>
          <w:rFonts w:ascii="Arial" w:eastAsia="Times New Roman" w:hAnsi="Arial" w:cs="Arial"/>
          <w:color w:val="000000"/>
          <w:shd w:val="clear" w:color="auto" w:fill="FFFFFF"/>
        </w:rPr>
        <w:t>. SA in the courtroom is deeply personal and terrifying</w:t>
      </w:r>
      <w:r w:rsidR="00725C05">
        <w:rPr>
          <w:rFonts w:ascii="Arial" w:eastAsia="Times New Roman" w:hAnsi="Arial" w:cs="Arial"/>
          <w:color w:val="000000"/>
          <w:shd w:val="clear" w:color="auto" w:fill="FFFFFF"/>
        </w:rPr>
        <w:t>, often boiling down to one person’s word against another; I</w:t>
      </w:r>
      <w:r w:rsidRPr="00FF60D9">
        <w:rPr>
          <w:rFonts w:ascii="Arial" w:eastAsia="Times New Roman" w:hAnsi="Arial" w:cs="Arial"/>
          <w:color w:val="000000"/>
          <w:shd w:val="clear" w:color="auto" w:fill="FFFFFF"/>
        </w:rPr>
        <w:t xml:space="preserve">PV is no different, except that it may be worse, including continued abuse by the perpetrator in the courtroom, extended testimony depending on the length of time abuse happened, emotional issues especially when kids are involved, and possibly even sexual assault that occurred in the course of the abuse. If the criminal process </w:t>
      </w:r>
      <w:r w:rsidRPr="00FF60D9">
        <w:rPr>
          <w:rFonts w:ascii="Arial" w:eastAsia="Times New Roman" w:hAnsi="Arial" w:cs="Arial"/>
          <w:color w:val="000000"/>
          <w:shd w:val="clear" w:color="auto" w:fill="FFFFFF"/>
        </w:rPr>
        <w:lastRenderedPageBreak/>
        <w:t xml:space="preserve">is a major barrier for survivors to report the crimes against them and the CG has a method of mitigating that barrier by providing independent legal advocacy, then it should </w:t>
      </w:r>
      <w:r w:rsidR="00725C05">
        <w:rPr>
          <w:rFonts w:ascii="Arial" w:eastAsia="Times New Roman" w:hAnsi="Arial" w:cs="Arial"/>
          <w:color w:val="000000"/>
          <w:shd w:val="clear" w:color="auto" w:fill="FFFFFF"/>
        </w:rPr>
        <w:t>not hesitate to do so for any reason, especially money</w:t>
      </w:r>
      <w:r w:rsidRPr="00FF60D9">
        <w:rPr>
          <w:rFonts w:ascii="Arial" w:eastAsia="Times New Roman" w:hAnsi="Arial" w:cs="Arial"/>
          <w:color w:val="000000"/>
          <w:shd w:val="clear" w:color="auto" w:fill="FFFFFF"/>
        </w:rPr>
        <w:t xml:space="preserve">. </w:t>
      </w:r>
    </w:p>
    <w:p w14:paraId="2BB91898" w14:textId="77777777" w:rsidR="00725C05" w:rsidRDefault="00725C05" w:rsidP="00214C11">
      <w:pPr>
        <w:spacing w:line="480" w:lineRule="auto"/>
        <w:ind w:left="360"/>
        <w:rPr>
          <w:rFonts w:ascii="Arial" w:eastAsia="Times New Roman" w:hAnsi="Arial" w:cs="Arial"/>
          <w:color w:val="000000"/>
          <w:shd w:val="clear" w:color="auto" w:fill="FFFFFF"/>
        </w:rPr>
      </w:pPr>
    </w:p>
    <w:p w14:paraId="4A819E7C" w14:textId="1EA59FD3" w:rsidR="00D77780" w:rsidRPr="00FF60D9" w:rsidRDefault="00AE2CDB" w:rsidP="00214C11">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t>Lastly, the CG should allow expedited transfers to survivors of IPV, given the totality of the circumstances of each case. Currently, expedited transfers are used for survivors of SA when the offender is in the same area and the survivor is in fear and/or is facing ridicule at their place of work. Given everything discussed so far, there is no reason to exclude IPV victims from this same resource meant to give more assurance to their safety, and to provide an environment to work free of retaliation for reporting a crime against them. Often, if co-located in a marriage, or if dating someone from a nearby unit, a survivor of IPV will be barred from an early transfer out of that location where the</w:t>
      </w:r>
      <w:r w:rsidR="00725C05">
        <w:rPr>
          <w:rFonts w:ascii="Arial" w:eastAsia="Times New Roman" w:hAnsi="Arial" w:cs="Arial"/>
          <w:color w:val="000000"/>
          <w:shd w:val="clear" w:color="auto" w:fill="FFFFFF"/>
        </w:rPr>
        <w:t>ir</w:t>
      </w:r>
      <w:r w:rsidRPr="00FF60D9">
        <w:rPr>
          <w:rFonts w:ascii="Arial" w:eastAsia="Times New Roman" w:hAnsi="Arial" w:cs="Arial"/>
          <w:color w:val="000000"/>
          <w:shd w:val="clear" w:color="auto" w:fill="FFFFFF"/>
        </w:rPr>
        <w:t xml:space="preserve"> physical safety is put in even greater danger simply by reporting the crime in the first place.</w:t>
      </w:r>
      <w:r w:rsidRPr="00FF60D9">
        <w:rPr>
          <w:rStyle w:val="FootnoteReference"/>
          <w:rFonts w:ascii="Arial" w:eastAsia="Times New Roman" w:hAnsi="Arial" w:cs="Arial"/>
          <w:color w:val="000000"/>
          <w:shd w:val="clear" w:color="auto" w:fill="FFFFFF"/>
        </w:rPr>
        <w:footnoteReference w:id="145"/>
      </w:r>
      <w:r w:rsidRPr="00FF60D9">
        <w:rPr>
          <w:rFonts w:ascii="Arial" w:eastAsia="Times New Roman" w:hAnsi="Arial" w:cs="Arial"/>
          <w:color w:val="000000"/>
          <w:shd w:val="clear" w:color="auto" w:fill="FFFFFF"/>
        </w:rPr>
        <w:t xml:space="preserve"> Moreover, </w:t>
      </w:r>
      <w:r w:rsidR="005F6D65" w:rsidRPr="00FF60D9">
        <w:rPr>
          <w:rFonts w:ascii="Arial" w:eastAsia="Times New Roman" w:hAnsi="Arial" w:cs="Arial"/>
          <w:color w:val="000000"/>
          <w:shd w:val="clear" w:color="auto" w:fill="FFFFFF"/>
        </w:rPr>
        <w:t xml:space="preserve">the workplace retaliation is the same no matter which crime because the survivor is </w:t>
      </w:r>
      <w:r w:rsidR="00725C05">
        <w:rPr>
          <w:rFonts w:ascii="Arial" w:eastAsia="Times New Roman" w:hAnsi="Arial" w:cs="Arial"/>
          <w:color w:val="000000"/>
          <w:shd w:val="clear" w:color="auto" w:fill="FFFFFF"/>
        </w:rPr>
        <w:t>absent from work</w:t>
      </w:r>
      <w:r w:rsidR="005F6D65" w:rsidRPr="00FF60D9">
        <w:rPr>
          <w:rFonts w:ascii="Arial" w:eastAsia="Times New Roman" w:hAnsi="Arial" w:cs="Arial"/>
          <w:color w:val="000000"/>
          <w:shd w:val="clear" w:color="auto" w:fill="FFFFFF"/>
        </w:rPr>
        <w:t xml:space="preserve"> more often for legal meetings and appearances, mental health appointments, other doctor’s appointments, meetings with command and the FAP/SAPR program personnel, et</w:t>
      </w:r>
      <w:r w:rsidR="00ED3598">
        <w:rPr>
          <w:rFonts w:ascii="Arial" w:eastAsia="Times New Roman" w:hAnsi="Arial" w:cs="Arial"/>
          <w:color w:val="000000"/>
          <w:shd w:val="clear" w:color="auto" w:fill="FFFFFF"/>
        </w:rPr>
        <w:t xml:space="preserve">c. </w:t>
      </w:r>
      <w:r w:rsidR="005F6D65" w:rsidRPr="00FF60D9">
        <w:rPr>
          <w:rFonts w:ascii="Arial" w:eastAsia="Times New Roman" w:hAnsi="Arial" w:cs="Arial"/>
          <w:color w:val="000000"/>
          <w:shd w:val="clear" w:color="auto" w:fill="FFFFFF"/>
        </w:rPr>
        <w:t xml:space="preserve">Disallowing IPV survivors from accessing expedited transfers is a decision that serves only to discourage reporting </w:t>
      </w:r>
      <w:r w:rsidR="00725C05">
        <w:rPr>
          <w:rFonts w:ascii="Arial" w:eastAsia="Times New Roman" w:hAnsi="Arial" w:cs="Arial"/>
          <w:color w:val="000000"/>
          <w:shd w:val="clear" w:color="auto" w:fill="FFFFFF"/>
        </w:rPr>
        <w:t>and reinforce that a survivor is not deserving of the assurance of safety and support in recovery.</w:t>
      </w:r>
    </w:p>
    <w:p w14:paraId="42FD180B" w14:textId="77777777" w:rsidR="00AE2CDB" w:rsidRPr="00FF60D9" w:rsidRDefault="00AE2CDB" w:rsidP="00214C11">
      <w:pPr>
        <w:spacing w:line="480" w:lineRule="auto"/>
        <w:ind w:left="360"/>
        <w:rPr>
          <w:rFonts w:ascii="Arial" w:eastAsia="Times New Roman" w:hAnsi="Arial" w:cs="Arial"/>
          <w:color w:val="000000"/>
          <w:shd w:val="clear" w:color="auto" w:fill="FFFFFF"/>
        </w:rPr>
      </w:pPr>
    </w:p>
    <w:p w14:paraId="70A40AF5" w14:textId="67F6F25E" w:rsidR="00AE2CDB" w:rsidRPr="00FF60D9" w:rsidRDefault="00AE2CDB" w:rsidP="007B42A5">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lastRenderedPageBreak/>
        <w:t xml:space="preserve">Third, </w:t>
      </w:r>
      <w:r w:rsidR="005F6D65" w:rsidRPr="00FF60D9">
        <w:rPr>
          <w:rFonts w:ascii="Arial" w:eastAsia="Times New Roman" w:hAnsi="Arial" w:cs="Arial"/>
          <w:color w:val="000000"/>
          <w:shd w:val="clear" w:color="auto" w:fill="FFFFFF"/>
        </w:rPr>
        <w:t>the CG should implement mandatory, annual IPV training for all members and civilian employees just as it does for SA. Simply put, in order to have a mandatory reporting policy that is effective, and in which bystanders feel safe and comfortable making a call like when to report something so personal, the members need to be properly and thoroughly trained.</w:t>
      </w:r>
      <w:r w:rsidR="000E0156">
        <w:rPr>
          <w:rStyle w:val="FootnoteReference"/>
          <w:rFonts w:ascii="Arial" w:eastAsia="Times New Roman" w:hAnsi="Arial" w:cs="Arial"/>
          <w:color w:val="000000"/>
          <w:shd w:val="clear" w:color="auto" w:fill="FFFFFF"/>
        </w:rPr>
        <w:footnoteReference w:id="146"/>
      </w:r>
      <w:r w:rsidR="005F6D65" w:rsidRPr="00FF60D9">
        <w:rPr>
          <w:rFonts w:ascii="Arial" w:eastAsia="Times New Roman" w:hAnsi="Arial" w:cs="Arial"/>
          <w:color w:val="000000"/>
          <w:shd w:val="clear" w:color="auto" w:fill="FFFFFF"/>
        </w:rPr>
        <w:t xml:space="preserve"> This could be accomplished by adding FAS’s to the CG payroll in each region, </w:t>
      </w:r>
      <w:r w:rsidR="00F82064">
        <w:rPr>
          <w:rFonts w:ascii="Arial" w:eastAsia="Times New Roman" w:hAnsi="Arial" w:cs="Arial"/>
          <w:color w:val="000000"/>
          <w:shd w:val="clear" w:color="auto" w:fill="FFFFFF"/>
        </w:rPr>
        <w:t>but most importantly, by</w:t>
      </w:r>
      <w:r w:rsidR="005F6D65" w:rsidRPr="00FF60D9">
        <w:rPr>
          <w:rFonts w:ascii="Arial" w:eastAsia="Times New Roman" w:hAnsi="Arial" w:cs="Arial"/>
          <w:color w:val="000000"/>
          <w:shd w:val="clear" w:color="auto" w:fill="FFFFFF"/>
        </w:rPr>
        <w:t xml:space="preserve"> certifying more VA’s who will be able to give the training as supervised by an FAS. </w:t>
      </w:r>
      <w:r w:rsidR="007B42A5">
        <w:rPr>
          <w:rFonts w:ascii="Arial" w:eastAsia="Times New Roman" w:hAnsi="Arial" w:cs="Arial"/>
          <w:color w:val="000000"/>
          <w:shd w:val="clear" w:color="auto" w:fill="FFFFFF"/>
        </w:rPr>
        <w:t>The</w:t>
      </w:r>
      <w:r w:rsidR="005F6D65" w:rsidRPr="00FF60D9">
        <w:rPr>
          <w:rFonts w:ascii="Arial" w:eastAsia="Times New Roman" w:hAnsi="Arial" w:cs="Arial"/>
          <w:color w:val="000000"/>
          <w:shd w:val="clear" w:color="auto" w:fill="FFFFFF"/>
        </w:rPr>
        <w:t xml:space="preserve"> DOJ has ample suggestions on what to train members about and how to do it. Some of the suggestions include focusing on E1-E4 grades, and involving local experts and organizations to create continuing awareness campaigns.</w:t>
      </w:r>
      <w:r w:rsidR="005F6D65" w:rsidRPr="00FF60D9">
        <w:rPr>
          <w:rStyle w:val="FootnoteReference"/>
          <w:rFonts w:ascii="Arial" w:eastAsia="Times New Roman" w:hAnsi="Arial" w:cs="Arial"/>
          <w:color w:val="000000"/>
          <w:shd w:val="clear" w:color="auto" w:fill="FFFFFF"/>
        </w:rPr>
        <w:footnoteReference w:id="147"/>
      </w:r>
      <w:r w:rsidR="005F6D65" w:rsidRPr="00FF60D9">
        <w:rPr>
          <w:rFonts w:ascii="Arial" w:eastAsia="Times New Roman" w:hAnsi="Arial" w:cs="Arial"/>
          <w:color w:val="000000"/>
          <w:shd w:val="clear" w:color="auto" w:fill="FFFFFF"/>
        </w:rPr>
        <w:t xml:space="preserve"> </w:t>
      </w:r>
      <w:r w:rsidR="00FC7EC6">
        <w:rPr>
          <w:rFonts w:ascii="Arial" w:eastAsia="Times New Roman" w:hAnsi="Arial" w:cs="Arial"/>
          <w:color w:val="000000"/>
          <w:shd w:val="clear" w:color="auto" w:fill="FFFFFF"/>
        </w:rPr>
        <w:t>In accordance with the DOJ suggestions, most offenders of interpersonal violence against women in the military are in the paygrades E1-E4.</w:t>
      </w:r>
      <w:r w:rsidR="00FC7EC6">
        <w:rPr>
          <w:rStyle w:val="FootnoteReference"/>
          <w:rFonts w:ascii="Arial" w:eastAsia="Times New Roman" w:hAnsi="Arial" w:cs="Arial"/>
          <w:color w:val="000000"/>
          <w:shd w:val="clear" w:color="auto" w:fill="FFFFFF"/>
        </w:rPr>
        <w:footnoteReference w:id="148"/>
      </w:r>
    </w:p>
    <w:p w14:paraId="68E8D030" w14:textId="77777777" w:rsidR="005F6D65" w:rsidRPr="00FF60D9" w:rsidRDefault="005F6D65" w:rsidP="00214C11">
      <w:pPr>
        <w:spacing w:line="480" w:lineRule="auto"/>
        <w:ind w:left="360"/>
        <w:rPr>
          <w:rFonts w:ascii="Arial" w:eastAsia="Times New Roman" w:hAnsi="Arial" w:cs="Arial"/>
          <w:color w:val="000000"/>
          <w:shd w:val="clear" w:color="auto" w:fill="FFFFFF"/>
        </w:rPr>
      </w:pPr>
    </w:p>
    <w:p w14:paraId="69A9DDF3" w14:textId="05004C1F" w:rsidR="00D77780" w:rsidRPr="00FF60D9" w:rsidRDefault="005F6D65" w:rsidP="00214C11">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t xml:space="preserve">Fourth, as a measure to hold itself accountable, the CG should write, publish, and follow a strategic plan similar to SAPR </w:t>
      </w:r>
      <w:r w:rsidR="007B42A5">
        <w:rPr>
          <w:rFonts w:ascii="Arial" w:eastAsia="Times New Roman" w:hAnsi="Arial" w:cs="Arial"/>
          <w:color w:val="000000"/>
          <w:shd w:val="clear" w:color="auto" w:fill="FFFFFF"/>
        </w:rPr>
        <w:t>Strategic Plans</w:t>
      </w:r>
      <w:r w:rsidRPr="00FF60D9">
        <w:rPr>
          <w:rFonts w:ascii="Arial" w:eastAsia="Times New Roman" w:hAnsi="Arial" w:cs="Arial"/>
          <w:color w:val="000000"/>
          <w:shd w:val="clear" w:color="auto" w:fill="FFFFFF"/>
        </w:rPr>
        <w:t>. The CG just finished</w:t>
      </w:r>
      <w:r w:rsidR="007B42A5">
        <w:rPr>
          <w:rFonts w:ascii="Arial" w:eastAsia="Times New Roman" w:hAnsi="Arial" w:cs="Arial"/>
          <w:color w:val="000000"/>
          <w:shd w:val="clear" w:color="auto" w:fill="FFFFFF"/>
        </w:rPr>
        <w:t xml:space="preserve"> </w:t>
      </w:r>
      <w:r w:rsidRPr="00FF60D9">
        <w:rPr>
          <w:rFonts w:ascii="Arial" w:eastAsia="Times New Roman" w:hAnsi="Arial" w:cs="Arial"/>
          <w:color w:val="000000"/>
          <w:shd w:val="clear" w:color="auto" w:fill="FFFFFF"/>
        </w:rPr>
        <w:t>its first 4 year strategic plan, and is entering its second 4 year plan</w:t>
      </w:r>
      <w:r w:rsidR="00C7185A" w:rsidRPr="00FF60D9">
        <w:rPr>
          <w:rFonts w:ascii="Arial" w:eastAsia="Times New Roman" w:hAnsi="Arial" w:cs="Arial"/>
          <w:color w:val="000000"/>
          <w:shd w:val="clear" w:color="auto" w:fill="FFFFFF"/>
        </w:rPr>
        <w:t xml:space="preserve"> after having made great achievements. </w:t>
      </w:r>
      <w:r w:rsidR="00966A38" w:rsidRPr="00FF60D9">
        <w:rPr>
          <w:rFonts w:ascii="Arial" w:eastAsia="Times New Roman" w:hAnsi="Arial" w:cs="Arial"/>
          <w:color w:val="000000"/>
          <w:shd w:val="clear" w:color="auto" w:fill="FFFFFF"/>
        </w:rPr>
        <w:t xml:space="preserve">Of note is that SAPR has now become SAPRR, or Sexual Assault </w:t>
      </w:r>
      <w:r w:rsidR="00966A38" w:rsidRPr="00FF60D9">
        <w:rPr>
          <w:rFonts w:ascii="Arial" w:eastAsia="Times New Roman" w:hAnsi="Arial" w:cs="Arial"/>
          <w:color w:val="000000"/>
          <w:shd w:val="clear" w:color="auto" w:fill="FFFFFF"/>
        </w:rPr>
        <w:lastRenderedPageBreak/>
        <w:t xml:space="preserve">Prevention, Response, and Recovery, because the CG recognized the importance of recovery not only for the survivor, but for the unit that likely suffered harm </w:t>
      </w:r>
      <w:r w:rsidR="007B42A5">
        <w:rPr>
          <w:rFonts w:ascii="Arial" w:eastAsia="Times New Roman" w:hAnsi="Arial" w:cs="Arial"/>
          <w:color w:val="000000"/>
          <w:shd w:val="clear" w:color="auto" w:fill="FFFFFF"/>
        </w:rPr>
        <w:t xml:space="preserve">to its community cohesion </w:t>
      </w:r>
      <w:r w:rsidR="00966A38" w:rsidRPr="00FF60D9">
        <w:rPr>
          <w:rFonts w:ascii="Arial" w:eastAsia="Times New Roman" w:hAnsi="Arial" w:cs="Arial"/>
          <w:color w:val="000000"/>
          <w:shd w:val="clear" w:color="auto" w:fill="FFFFFF"/>
        </w:rPr>
        <w:t>during the course of investigations and</w:t>
      </w:r>
      <w:r w:rsidR="001857CD">
        <w:rPr>
          <w:rFonts w:ascii="Arial" w:eastAsia="Times New Roman" w:hAnsi="Arial" w:cs="Arial"/>
          <w:color w:val="000000"/>
          <w:shd w:val="clear" w:color="auto" w:fill="FFFFFF"/>
        </w:rPr>
        <w:t xml:space="preserve"> the trauma experienced by the individual</w:t>
      </w:r>
      <w:r w:rsidR="00966A38" w:rsidRPr="00FF60D9">
        <w:rPr>
          <w:rFonts w:ascii="Arial" w:eastAsia="Times New Roman" w:hAnsi="Arial" w:cs="Arial"/>
          <w:color w:val="000000"/>
          <w:shd w:val="clear" w:color="auto" w:fill="FFFFFF"/>
        </w:rPr>
        <w:t xml:space="preserve">. </w:t>
      </w:r>
      <w:r w:rsidR="001857CD">
        <w:rPr>
          <w:rFonts w:ascii="Arial" w:eastAsia="Times New Roman" w:hAnsi="Arial" w:cs="Arial"/>
          <w:color w:val="000000"/>
          <w:shd w:val="clear" w:color="auto" w:fill="FFFFFF"/>
        </w:rPr>
        <w:t xml:space="preserve">The strategic plans written for the SAPR program convey clear and precise communications throughout the ranks and reinforce the strong, zero-tolerance stance that the organization takes towards offenders of SA, and the bystander responsibilities placed on other members. To do the same for the crimes of IPV would serve no harm, would look great for the service, and would only serve to make cultural shifts within the organization. </w:t>
      </w:r>
    </w:p>
    <w:p w14:paraId="37E1EC23" w14:textId="77777777" w:rsidR="00C7185A" w:rsidRPr="00FF60D9" w:rsidRDefault="00C7185A" w:rsidP="00214C11">
      <w:pPr>
        <w:spacing w:line="480" w:lineRule="auto"/>
        <w:ind w:left="360"/>
        <w:rPr>
          <w:rFonts w:ascii="Arial" w:eastAsia="Times New Roman" w:hAnsi="Arial" w:cs="Arial"/>
          <w:color w:val="000000"/>
          <w:shd w:val="clear" w:color="auto" w:fill="FFFFFF"/>
        </w:rPr>
      </w:pPr>
    </w:p>
    <w:p w14:paraId="4157336D" w14:textId="2249A0ED" w:rsidR="00412789" w:rsidRPr="00FF60D9" w:rsidRDefault="00C7185A" w:rsidP="00214C11">
      <w:pPr>
        <w:spacing w:line="480" w:lineRule="auto"/>
        <w:ind w:left="360"/>
        <w:rPr>
          <w:rFonts w:ascii="Arial" w:eastAsia="Times New Roman" w:hAnsi="Arial" w:cs="Arial"/>
          <w:color w:val="000000"/>
          <w:shd w:val="clear" w:color="auto" w:fill="FFFFFF"/>
        </w:rPr>
      </w:pPr>
      <w:r w:rsidRPr="00FF60D9">
        <w:rPr>
          <w:rFonts w:ascii="Arial" w:eastAsia="Times New Roman" w:hAnsi="Arial" w:cs="Arial"/>
          <w:color w:val="000000"/>
          <w:shd w:val="clear" w:color="auto" w:fill="FFFFFF"/>
        </w:rPr>
        <w:t xml:space="preserve">These four recommendations are not radical, nor are they offensive to any standards of military etiquette or behavior. Rather, they are well seasoned, already known methods employed in the SAPR program that has helped to </w:t>
      </w:r>
      <w:r w:rsidR="001857CD">
        <w:rPr>
          <w:rFonts w:ascii="Arial" w:eastAsia="Times New Roman" w:hAnsi="Arial" w:cs="Arial"/>
          <w:color w:val="000000"/>
          <w:shd w:val="clear" w:color="auto" w:fill="FFFFFF"/>
        </w:rPr>
        <w:t>sustain a</w:t>
      </w:r>
      <w:r w:rsidRPr="00FF60D9">
        <w:rPr>
          <w:rFonts w:ascii="Arial" w:eastAsia="Times New Roman" w:hAnsi="Arial" w:cs="Arial"/>
          <w:color w:val="000000"/>
          <w:shd w:val="clear" w:color="auto" w:fill="FFFFFF"/>
        </w:rPr>
        <w:t xml:space="preserve"> successful program</w:t>
      </w:r>
      <w:r w:rsidR="001857CD">
        <w:rPr>
          <w:rFonts w:ascii="Arial" w:eastAsia="Times New Roman" w:hAnsi="Arial" w:cs="Arial"/>
          <w:color w:val="000000"/>
          <w:shd w:val="clear" w:color="auto" w:fill="FFFFFF"/>
        </w:rPr>
        <w:t xml:space="preserve">. </w:t>
      </w:r>
      <w:r w:rsidRPr="00FF60D9">
        <w:rPr>
          <w:rFonts w:ascii="Arial" w:eastAsia="Times New Roman" w:hAnsi="Arial" w:cs="Arial"/>
          <w:color w:val="000000"/>
          <w:shd w:val="clear" w:color="auto" w:fill="FFFFFF"/>
        </w:rPr>
        <w:t xml:space="preserve">If the CG were willing to open itself up to the needs and experiences of survivors of IPV, </w:t>
      </w:r>
      <w:r w:rsidR="001857CD">
        <w:rPr>
          <w:rFonts w:ascii="Arial" w:eastAsia="Times New Roman" w:hAnsi="Arial" w:cs="Arial"/>
          <w:color w:val="000000"/>
          <w:shd w:val="clear" w:color="auto" w:fill="FFFFFF"/>
        </w:rPr>
        <w:t xml:space="preserve">it could </w:t>
      </w:r>
      <w:r w:rsidRPr="00FF60D9">
        <w:rPr>
          <w:rFonts w:ascii="Arial" w:eastAsia="Times New Roman" w:hAnsi="Arial" w:cs="Arial"/>
          <w:color w:val="000000"/>
          <w:shd w:val="clear" w:color="auto" w:fill="FFFFFF"/>
        </w:rPr>
        <w:t>encourage reporting</w:t>
      </w:r>
      <w:r w:rsidR="001857CD">
        <w:rPr>
          <w:rFonts w:ascii="Arial" w:eastAsia="Times New Roman" w:hAnsi="Arial" w:cs="Arial"/>
          <w:color w:val="000000"/>
          <w:shd w:val="clear" w:color="auto" w:fill="FFFFFF"/>
        </w:rPr>
        <w:t xml:space="preserve"> and bystander action</w:t>
      </w:r>
      <w:r w:rsidRPr="00FF60D9">
        <w:rPr>
          <w:rFonts w:ascii="Arial" w:eastAsia="Times New Roman" w:hAnsi="Arial" w:cs="Arial"/>
          <w:color w:val="000000"/>
          <w:shd w:val="clear" w:color="auto" w:fill="FFFFFF"/>
        </w:rPr>
        <w:t xml:space="preserve">, </w:t>
      </w:r>
      <w:r w:rsidR="001857CD">
        <w:rPr>
          <w:rFonts w:ascii="Arial" w:eastAsia="Times New Roman" w:hAnsi="Arial" w:cs="Arial"/>
          <w:color w:val="000000"/>
          <w:shd w:val="clear" w:color="auto" w:fill="FFFFFF"/>
        </w:rPr>
        <w:t xml:space="preserve">support survivors, and hold offenders accountable all while shaping its organization to be the service of choice. The tools and methods needed to achieve this change are already in the CG’s toolkit. </w:t>
      </w:r>
    </w:p>
    <w:p w14:paraId="019C7D39" w14:textId="77777777" w:rsidR="00412789" w:rsidRPr="00FF60D9" w:rsidRDefault="00412789" w:rsidP="00214C11">
      <w:pPr>
        <w:spacing w:line="480" w:lineRule="auto"/>
        <w:ind w:left="360"/>
        <w:rPr>
          <w:rFonts w:ascii="Arial" w:hAnsi="Arial" w:cs="Arial"/>
        </w:rPr>
      </w:pPr>
    </w:p>
    <w:p w14:paraId="6DEBBA3F" w14:textId="68757798" w:rsidR="00A053E6" w:rsidRPr="00FF60D9" w:rsidRDefault="00A053E6" w:rsidP="00214C11">
      <w:pPr>
        <w:pStyle w:val="ListParagraph"/>
        <w:numPr>
          <w:ilvl w:val="0"/>
          <w:numId w:val="9"/>
        </w:numPr>
        <w:spacing w:line="480" w:lineRule="auto"/>
        <w:rPr>
          <w:rFonts w:ascii="Arial" w:hAnsi="Arial" w:cs="Arial"/>
          <w:b/>
        </w:rPr>
      </w:pPr>
      <w:r w:rsidRPr="00FF60D9">
        <w:rPr>
          <w:rFonts w:ascii="Arial" w:hAnsi="Arial" w:cs="Arial"/>
          <w:b/>
        </w:rPr>
        <w:t>Conclusion</w:t>
      </w:r>
    </w:p>
    <w:p w14:paraId="1F414C9B" w14:textId="1D21CEB0" w:rsidR="00966A38" w:rsidRPr="00FF60D9" w:rsidRDefault="00771406" w:rsidP="00214C11">
      <w:pPr>
        <w:spacing w:line="480" w:lineRule="auto"/>
        <w:ind w:left="360"/>
        <w:rPr>
          <w:rFonts w:ascii="Arial" w:hAnsi="Arial" w:cs="Arial"/>
        </w:rPr>
      </w:pPr>
      <w:r w:rsidRPr="00FF60D9">
        <w:rPr>
          <w:rFonts w:ascii="Arial" w:hAnsi="Arial" w:cs="Arial"/>
        </w:rPr>
        <w:t>Admiral Papp wrote</w:t>
      </w:r>
      <w:r w:rsidR="001857CD">
        <w:rPr>
          <w:rFonts w:ascii="Arial" w:hAnsi="Arial" w:cs="Arial"/>
        </w:rPr>
        <w:t xml:space="preserve"> in 2015</w:t>
      </w:r>
      <w:r w:rsidRPr="00FF60D9">
        <w:rPr>
          <w:rFonts w:ascii="Arial" w:hAnsi="Arial" w:cs="Arial"/>
        </w:rPr>
        <w:t>:</w:t>
      </w:r>
    </w:p>
    <w:p w14:paraId="1D641EA8" w14:textId="619DF0CB" w:rsidR="00771406" w:rsidRPr="00FF60D9" w:rsidRDefault="00771406" w:rsidP="001857CD">
      <w:pPr>
        <w:tabs>
          <w:tab w:val="left" w:pos="1440"/>
        </w:tabs>
        <w:ind w:left="990" w:right="1440"/>
        <w:rPr>
          <w:rFonts w:ascii="Arial" w:hAnsi="Arial" w:cs="Arial"/>
        </w:rPr>
      </w:pPr>
      <w:r w:rsidRPr="00FF60D9">
        <w:rPr>
          <w:rFonts w:ascii="Arial" w:hAnsi="Arial" w:cs="Arial"/>
        </w:rPr>
        <w:t xml:space="preserve">Let me be clear: there are no bystanders in the Coast Guard, and leadership obligates us to take action. Our duty to respect our shipmates demands each of us have the courage to take immediate action to prevent or stop sexual assault from </w:t>
      </w:r>
      <w:r w:rsidRPr="00FF60D9">
        <w:rPr>
          <w:rFonts w:ascii="Arial" w:hAnsi="Arial" w:cs="Arial"/>
        </w:rPr>
        <w:lastRenderedPageBreak/>
        <w:t xml:space="preserve">happening, whether at work or on liberty. If you become aware of an incident of sexual assault, or recognize the potential for one to occur, your duty as a </w:t>
      </w:r>
      <w:r w:rsidR="001857CD">
        <w:rPr>
          <w:rFonts w:ascii="Arial" w:hAnsi="Arial" w:cs="Arial"/>
        </w:rPr>
        <w:t xml:space="preserve">[member] </w:t>
      </w:r>
      <w:r w:rsidRPr="00FF60D9">
        <w:rPr>
          <w:rFonts w:ascii="Arial" w:hAnsi="Arial" w:cs="Arial"/>
        </w:rPr>
        <w:t xml:space="preserve">is to intervene, prevent or halt it, and then report it. Failure to help a shipmate in those circumstances demonstrates a lack of both respect and courage that is contrary to our Core Values. I expect every </w:t>
      </w:r>
      <w:r w:rsidR="001857CD">
        <w:rPr>
          <w:rFonts w:ascii="Arial" w:hAnsi="Arial" w:cs="Arial"/>
        </w:rPr>
        <w:t xml:space="preserve">[member] </w:t>
      </w:r>
      <w:r w:rsidRPr="00FF60D9">
        <w:rPr>
          <w:rFonts w:ascii="Arial" w:hAnsi="Arial" w:cs="Arial"/>
        </w:rPr>
        <w:t>will display the same courage in those circumstances as they would rescuing someone in peril on the sea.</w:t>
      </w:r>
      <w:r w:rsidR="001857CD" w:rsidRPr="001857CD">
        <w:rPr>
          <w:rStyle w:val="FootnoteReference"/>
          <w:rFonts w:ascii="Arial" w:hAnsi="Arial" w:cs="Arial"/>
        </w:rPr>
        <w:t xml:space="preserve"> </w:t>
      </w:r>
      <w:r w:rsidR="001857CD" w:rsidRPr="00FF60D9">
        <w:rPr>
          <w:rStyle w:val="FootnoteReference"/>
          <w:rFonts w:ascii="Arial" w:hAnsi="Arial" w:cs="Arial"/>
        </w:rPr>
        <w:footnoteReference w:id="149"/>
      </w:r>
    </w:p>
    <w:p w14:paraId="7251ED6F" w14:textId="77777777" w:rsidR="00771406" w:rsidRPr="00FF60D9" w:rsidRDefault="00771406" w:rsidP="00214C11">
      <w:pPr>
        <w:tabs>
          <w:tab w:val="left" w:pos="1440"/>
        </w:tabs>
        <w:spacing w:line="480" w:lineRule="auto"/>
        <w:ind w:left="360" w:right="720"/>
        <w:rPr>
          <w:rFonts w:ascii="Arial" w:hAnsi="Arial" w:cs="Arial"/>
        </w:rPr>
      </w:pPr>
    </w:p>
    <w:p w14:paraId="4BF2DF98" w14:textId="162F6CB2" w:rsidR="00771406" w:rsidRPr="00FF60D9" w:rsidRDefault="007705FD" w:rsidP="00C8389F">
      <w:pPr>
        <w:tabs>
          <w:tab w:val="left" w:pos="1440"/>
        </w:tabs>
        <w:spacing w:line="480" w:lineRule="auto"/>
        <w:ind w:left="360" w:right="720"/>
        <w:rPr>
          <w:rFonts w:ascii="Arial" w:hAnsi="Arial" w:cs="Arial"/>
        </w:rPr>
      </w:pPr>
      <w:r>
        <w:rPr>
          <w:rFonts w:ascii="Arial" w:hAnsi="Arial" w:cs="Arial"/>
        </w:rPr>
        <w:t>Simply</w:t>
      </w:r>
      <w:r w:rsidR="00771406" w:rsidRPr="00FF60D9">
        <w:rPr>
          <w:rFonts w:ascii="Arial" w:hAnsi="Arial" w:cs="Arial"/>
        </w:rPr>
        <w:t xml:space="preserve"> swapping “sexual assault” for “intimate partner violence” </w:t>
      </w:r>
      <w:r>
        <w:rPr>
          <w:rFonts w:ascii="Arial" w:hAnsi="Arial" w:cs="Arial"/>
        </w:rPr>
        <w:t xml:space="preserve">or “interpersonal violence” would begin to close the gap in a culture that criminalizes SA, but leaves IPV as a family matter, with survivors not deserving basic victim resources. </w:t>
      </w:r>
      <w:r w:rsidR="00D947C2" w:rsidRPr="00FF60D9">
        <w:rPr>
          <w:rFonts w:ascii="Arial" w:hAnsi="Arial" w:cs="Arial"/>
        </w:rPr>
        <w:t xml:space="preserve">The CG </w:t>
      </w:r>
      <w:r w:rsidR="001857CD">
        <w:rPr>
          <w:rFonts w:ascii="Arial" w:hAnsi="Arial" w:cs="Arial"/>
        </w:rPr>
        <w:t>is perfectly aware of the issues within its ranks</w:t>
      </w:r>
      <w:r>
        <w:rPr>
          <w:rFonts w:ascii="Arial" w:hAnsi="Arial" w:cs="Arial"/>
        </w:rPr>
        <w:t xml:space="preserve"> and the detrimental effects born by survivors, y</w:t>
      </w:r>
      <w:r w:rsidR="00D947C2" w:rsidRPr="00FF60D9">
        <w:rPr>
          <w:rFonts w:ascii="Arial" w:hAnsi="Arial" w:cs="Arial"/>
        </w:rPr>
        <w:t xml:space="preserve">et, </w:t>
      </w:r>
      <w:r>
        <w:rPr>
          <w:rFonts w:ascii="Arial" w:hAnsi="Arial" w:cs="Arial"/>
        </w:rPr>
        <w:t>it</w:t>
      </w:r>
      <w:r w:rsidR="00D947C2" w:rsidRPr="00FF60D9">
        <w:rPr>
          <w:rFonts w:ascii="Arial" w:hAnsi="Arial" w:cs="Arial"/>
        </w:rPr>
        <w:t xml:space="preserve"> has failed </w:t>
      </w:r>
      <w:r>
        <w:rPr>
          <w:rFonts w:ascii="Arial" w:hAnsi="Arial" w:cs="Arial"/>
        </w:rPr>
        <w:t>completely to recognize, dignify, and assist survivors of IPV and has gone further, explicitly barring them from accessing the critical services needed as a crime victim.</w:t>
      </w:r>
      <w:r w:rsidR="00D947C2" w:rsidRPr="00FF60D9">
        <w:rPr>
          <w:rFonts w:ascii="Arial" w:hAnsi="Arial" w:cs="Arial"/>
        </w:rPr>
        <w:t xml:space="preserve"> </w:t>
      </w:r>
      <w:r w:rsidR="00771406" w:rsidRPr="00FF60D9">
        <w:rPr>
          <w:rFonts w:ascii="Arial" w:hAnsi="Arial" w:cs="Arial"/>
        </w:rPr>
        <w:t xml:space="preserve">This is about more than criminal justice, it is about fostering a service of action takers, first responders, and life savers that aren’t held back because of the trauma inflicted on them by a partner or a co-worker, </w:t>
      </w:r>
      <w:r w:rsidR="00D947C2" w:rsidRPr="00FF60D9">
        <w:rPr>
          <w:rFonts w:ascii="Arial" w:hAnsi="Arial" w:cs="Arial"/>
        </w:rPr>
        <w:t xml:space="preserve">further </w:t>
      </w:r>
      <w:r w:rsidR="00771406" w:rsidRPr="00FF60D9">
        <w:rPr>
          <w:rFonts w:ascii="Arial" w:hAnsi="Arial" w:cs="Arial"/>
        </w:rPr>
        <w:t>enabled</w:t>
      </w:r>
      <w:r w:rsidR="00D947C2" w:rsidRPr="00FF60D9">
        <w:rPr>
          <w:rFonts w:ascii="Arial" w:hAnsi="Arial" w:cs="Arial"/>
        </w:rPr>
        <w:t xml:space="preserve"> or perpetuated by </w:t>
      </w:r>
      <w:r>
        <w:rPr>
          <w:rFonts w:ascii="Arial" w:hAnsi="Arial" w:cs="Arial"/>
        </w:rPr>
        <w:t>a workplace of silent bystanders</w:t>
      </w:r>
      <w:r w:rsidR="00D947C2" w:rsidRPr="00FF60D9">
        <w:rPr>
          <w:rFonts w:ascii="Arial" w:hAnsi="Arial" w:cs="Arial"/>
        </w:rPr>
        <w:t xml:space="preserve">. </w:t>
      </w:r>
      <w:r w:rsidRPr="007705FD">
        <w:rPr>
          <w:rFonts w:ascii="Arial" w:hAnsi="Arial" w:cs="Arial"/>
          <w:i/>
        </w:rPr>
        <w:t xml:space="preserve">Semper </w:t>
      </w:r>
      <w:proofErr w:type="spellStart"/>
      <w:r w:rsidRPr="007705FD">
        <w:rPr>
          <w:rFonts w:ascii="Arial" w:hAnsi="Arial" w:cs="Arial"/>
          <w:i/>
        </w:rPr>
        <w:t>Paratus</w:t>
      </w:r>
      <w:proofErr w:type="spellEnd"/>
      <w:r>
        <w:rPr>
          <w:rFonts w:ascii="Arial" w:hAnsi="Arial" w:cs="Arial"/>
        </w:rPr>
        <w:t xml:space="preserve"> means “always ready” and always ready means being proactive even when being proactive means going beyond what is currently required. The CG’s </w:t>
      </w:r>
      <w:r w:rsidR="0080591D">
        <w:rPr>
          <w:rFonts w:ascii="Arial" w:hAnsi="Arial" w:cs="Arial"/>
        </w:rPr>
        <w:t>current t</w:t>
      </w:r>
      <w:r>
        <w:rPr>
          <w:rFonts w:ascii="Arial" w:hAnsi="Arial" w:cs="Arial"/>
        </w:rPr>
        <w:t xml:space="preserve">reatment of IPV victims is not aligned with its motto; </w:t>
      </w:r>
      <w:r w:rsidR="0080591D">
        <w:rPr>
          <w:rFonts w:ascii="Arial" w:hAnsi="Arial" w:cs="Arial"/>
        </w:rPr>
        <w:t>f</w:t>
      </w:r>
      <w:r w:rsidR="0080591D" w:rsidRPr="00FF60D9">
        <w:rPr>
          <w:rFonts w:ascii="Arial" w:hAnsi="Arial" w:cs="Arial"/>
        </w:rPr>
        <w:t xml:space="preserve">ailure to </w:t>
      </w:r>
      <w:r w:rsidR="0080591D">
        <w:rPr>
          <w:rFonts w:ascii="Arial" w:hAnsi="Arial" w:cs="Arial"/>
        </w:rPr>
        <w:t>assist a member</w:t>
      </w:r>
      <w:r w:rsidR="0080591D" w:rsidRPr="00FF60D9">
        <w:rPr>
          <w:rFonts w:ascii="Arial" w:hAnsi="Arial" w:cs="Arial"/>
        </w:rPr>
        <w:t xml:space="preserve"> </w:t>
      </w:r>
      <w:r w:rsidR="0080591D">
        <w:rPr>
          <w:rFonts w:ascii="Arial" w:hAnsi="Arial" w:cs="Arial"/>
        </w:rPr>
        <w:t>in their greatest time of need</w:t>
      </w:r>
      <w:r w:rsidR="0080591D" w:rsidRPr="00FF60D9">
        <w:rPr>
          <w:rFonts w:ascii="Arial" w:hAnsi="Arial" w:cs="Arial"/>
        </w:rPr>
        <w:t xml:space="preserve"> demonstrates a lack of both respect and courage</w:t>
      </w:r>
      <w:r w:rsidR="0080591D">
        <w:rPr>
          <w:rFonts w:ascii="Arial" w:hAnsi="Arial" w:cs="Arial"/>
        </w:rPr>
        <w:t xml:space="preserve"> that is contrary to its own Core Values.</w:t>
      </w:r>
    </w:p>
    <w:p w14:paraId="16889C08" w14:textId="0E991596" w:rsidR="00FA5585" w:rsidRPr="00FF60D9" w:rsidRDefault="00FA5585" w:rsidP="00214C11">
      <w:pPr>
        <w:spacing w:line="480" w:lineRule="auto"/>
        <w:ind w:left="360"/>
        <w:rPr>
          <w:rFonts w:ascii="Arial" w:hAnsi="Arial" w:cs="Arial"/>
          <w:bCs/>
          <w:u w:val="single"/>
        </w:rPr>
      </w:pPr>
    </w:p>
    <w:sectPr w:rsidR="00FA5585" w:rsidRPr="00FF60D9" w:rsidSect="00585EFD">
      <w:headerReference w:type="even" r:id="rId8"/>
      <w:headerReference w:type="default" r:id="rId9"/>
      <w:footerReference w:type="even"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F7304" w14:textId="77777777" w:rsidR="005F377A" w:rsidRDefault="005F377A" w:rsidP="00FC1864">
      <w:r>
        <w:separator/>
      </w:r>
    </w:p>
  </w:endnote>
  <w:endnote w:type="continuationSeparator" w:id="0">
    <w:p w14:paraId="4C4ED43E" w14:textId="77777777" w:rsidR="005F377A" w:rsidRDefault="005F377A" w:rsidP="00FC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770071"/>
      <w:docPartObj>
        <w:docPartGallery w:val="Page Numbers (Bottom of Page)"/>
        <w:docPartUnique/>
      </w:docPartObj>
    </w:sdtPr>
    <w:sdtEndPr>
      <w:rPr>
        <w:rStyle w:val="PageNumber"/>
      </w:rPr>
    </w:sdtEndPr>
    <w:sdtContent>
      <w:p w14:paraId="505DB114" w14:textId="1D2BF828" w:rsidR="00C754C9" w:rsidRDefault="00C754C9" w:rsidP="00585E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BBCF59" w14:textId="77777777" w:rsidR="00C754C9" w:rsidRDefault="00C75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CEF6" w14:textId="77777777" w:rsidR="005F377A" w:rsidRDefault="005F377A" w:rsidP="00FC1864">
      <w:r>
        <w:separator/>
      </w:r>
    </w:p>
  </w:footnote>
  <w:footnote w:type="continuationSeparator" w:id="0">
    <w:p w14:paraId="3A2AC4DE" w14:textId="77777777" w:rsidR="005F377A" w:rsidRDefault="005F377A" w:rsidP="00FC1864">
      <w:r>
        <w:continuationSeparator/>
      </w:r>
    </w:p>
  </w:footnote>
  <w:footnote w:id="1">
    <w:p w14:paraId="3A0754B7" w14:textId="272D2296"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K. J. Wilson, When Violence Begins at Home 220 (2d ed. 2006).</w:t>
      </w:r>
    </w:p>
  </w:footnote>
  <w:footnote w:id="2">
    <w:p w14:paraId="1F1D1505" w14:textId="41597C97"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Rosie Gonzalez &amp; Janice Corbin, </w:t>
      </w:r>
      <w:r w:rsidRPr="00C4479F">
        <w:rPr>
          <w:i/>
          <w:color w:val="000000" w:themeColor="text1"/>
        </w:rPr>
        <w:t>The Cycle of Violence: Domestic Violence and Its Effects on Children</w:t>
      </w:r>
      <w:r w:rsidRPr="00C4479F">
        <w:rPr>
          <w:color w:val="000000" w:themeColor="text1"/>
        </w:rPr>
        <w:t xml:space="preserve">, 13 SCHOLAR 405, 407 (2010); </w:t>
      </w:r>
      <w:r w:rsidRPr="00C4479F">
        <w:rPr>
          <w:i/>
          <w:color w:val="000000" w:themeColor="text1"/>
        </w:rPr>
        <w:t xml:space="preserve">see generally </w:t>
      </w:r>
      <w:r w:rsidRPr="00C4479F">
        <w:rPr>
          <w:color w:val="000000" w:themeColor="text1"/>
        </w:rPr>
        <w:t>Joan B. Kelly &amp; Michael P. Johnson, </w:t>
      </w:r>
      <w:r w:rsidRPr="00C4479F">
        <w:rPr>
          <w:i/>
          <w:iCs/>
          <w:color w:val="000000" w:themeColor="text1"/>
        </w:rPr>
        <w:t>Differentiation among Types of Intimate Partner Violence: Research Update and Implications for Interventions</w:t>
      </w:r>
      <w:r w:rsidRPr="00C4479F">
        <w:rPr>
          <w:color w:val="000000" w:themeColor="text1"/>
        </w:rPr>
        <w:t xml:space="preserve">, 46 FAM. CT. REV. 476 (2008); Jill Elaine </w:t>
      </w:r>
      <w:r w:rsidRPr="00C4479F">
        <w:rPr>
          <w:color w:val="000000" w:themeColor="text1"/>
        </w:rPr>
        <w:t>Hasday, </w:t>
      </w:r>
      <w:r w:rsidRPr="00C4479F">
        <w:rPr>
          <w:i/>
          <w:color w:val="000000" w:themeColor="text1"/>
        </w:rPr>
        <w:t>Contest and Consent: A Legal History of Marital Rape,</w:t>
      </w:r>
      <w:r w:rsidRPr="00C4479F">
        <w:rPr>
          <w:color w:val="000000" w:themeColor="text1"/>
        </w:rPr>
        <w:t xml:space="preserve"> 88 Cal. L. Rev. 1373, 1375 (2000).</w:t>
      </w:r>
    </w:p>
  </w:footnote>
  <w:footnote w:id="3">
    <w:p w14:paraId="46D2C595" w14:textId="5C2AF029" w:rsidR="00C754C9" w:rsidRPr="00C4479F" w:rsidRDefault="00C754C9">
      <w:pPr>
        <w:pStyle w:val="FootnoteText"/>
        <w:rPr>
          <w:i/>
          <w:color w:val="000000" w:themeColor="text1"/>
        </w:rPr>
      </w:pPr>
      <w:r w:rsidRPr="00C4479F">
        <w:rPr>
          <w:rStyle w:val="FootnoteReference"/>
          <w:color w:val="000000" w:themeColor="text1"/>
        </w:rPr>
        <w:footnoteRef/>
      </w:r>
      <w:r w:rsidRPr="00C4479F">
        <w:rPr>
          <w:color w:val="000000" w:themeColor="text1"/>
        </w:rPr>
        <w:t xml:space="preserve"> Sharon G. Smith et al., </w:t>
      </w:r>
      <w:r w:rsidRPr="00C4479F">
        <w:rPr>
          <w:i/>
          <w:color w:val="000000" w:themeColor="text1"/>
        </w:rPr>
        <w:t>The National Intimate Partner and Sexual Violence Survey: 2010-2012 State Report.</w:t>
      </w:r>
      <w:r w:rsidRPr="00C4479F">
        <w:rPr>
          <w:color w:val="000000" w:themeColor="text1"/>
        </w:rPr>
        <w:t xml:space="preserve"> 217, 231 (2017).</w:t>
      </w:r>
    </w:p>
  </w:footnote>
  <w:footnote w:id="4">
    <w:p w14:paraId="35D28913" w14:textId="497BDD1D" w:rsidR="00C754C9" w:rsidRPr="009869B8" w:rsidRDefault="00C754C9">
      <w:pPr>
        <w:pStyle w:val="FootnoteText"/>
      </w:pPr>
      <w:r w:rsidRPr="00C4479F">
        <w:rPr>
          <w:rStyle w:val="FootnoteReference"/>
          <w:color w:val="000000" w:themeColor="text1"/>
        </w:rPr>
        <w:footnoteRef/>
      </w:r>
      <w:r w:rsidRPr="00C4479F">
        <w:rPr>
          <w:color w:val="000000" w:themeColor="text1"/>
        </w:rPr>
        <w:t xml:space="preserve"> </w:t>
      </w:r>
      <w:r w:rsidRPr="00C4479F">
        <w:rPr>
          <w:i/>
          <w:color w:val="000000" w:themeColor="text1"/>
        </w:rPr>
        <w:t xml:space="preserve">Id. </w:t>
      </w:r>
      <w:r w:rsidRPr="00C4479F">
        <w:rPr>
          <w:color w:val="000000" w:themeColor="text1"/>
        </w:rPr>
        <w:t xml:space="preserve">at 219. Another 20.4% of contact sexual violence is committed by family members, which is a relationship that would fall under the umbrella term of “domestic violence” in many situations. </w:t>
      </w:r>
    </w:p>
  </w:footnote>
  <w:footnote w:id="5">
    <w:p w14:paraId="1DF39B9A" w14:textId="5A83E510"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U.S. Department of Homeland Security, </w:t>
      </w:r>
      <w:r w:rsidRPr="00C4479F">
        <w:rPr>
          <w:i/>
          <w:color w:val="000000" w:themeColor="text1"/>
        </w:rPr>
        <w:t>Component Overview</w:t>
      </w:r>
      <w:r w:rsidRPr="00C4479F">
        <w:rPr>
          <w:color w:val="000000" w:themeColor="text1"/>
        </w:rPr>
        <w:t xml:space="preserve"> 2 (2016).</w:t>
      </w:r>
    </w:p>
  </w:footnote>
  <w:footnote w:id="6">
    <w:p w14:paraId="44B6375F" w14:textId="5EF528B4" w:rsidR="00C754C9" w:rsidRPr="00C4479F" w:rsidRDefault="00C754C9">
      <w:pPr>
        <w:pStyle w:val="FootnoteText"/>
        <w:rPr>
          <w:color w:val="000000" w:themeColor="text1"/>
          <w:u w:val="single"/>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at 14; DOD 6400.01, </w:t>
      </w:r>
      <w:r w:rsidRPr="00C4479F">
        <w:rPr>
          <w:i/>
          <w:color w:val="000000" w:themeColor="text1"/>
        </w:rPr>
        <w:t>Family Advocacy Program</w:t>
      </w:r>
      <w:r w:rsidRPr="00C4479F">
        <w:rPr>
          <w:color w:val="000000" w:themeColor="text1"/>
        </w:rPr>
        <w:t xml:space="preserve"> 1 (2015) </w:t>
      </w:r>
      <w:r w:rsidRPr="00C4479F">
        <w:rPr>
          <w:rStyle w:val="Hyperlink"/>
          <w:color w:val="000000" w:themeColor="text1"/>
        </w:rPr>
        <w:t xml:space="preserve">http://www.esd.whs.mil/Portals/54/Documents/DD/issuances/dodm/640001_vol1.pdf; </w:t>
      </w:r>
      <w:r w:rsidRPr="00C4479F">
        <w:rPr>
          <w:color w:val="000000" w:themeColor="text1"/>
        </w:rPr>
        <w:t xml:space="preserve">United States Coast Guard, </w:t>
      </w:r>
      <w:r w:rsidRPr="00C4479F">
        <w:rPr>
          <w:i/>
          <w:color w:val="000000" w:themeColor="text1"/>
        </w:rPr>
        <w:t xml:space="preserve">COMDTINST M1754.10E (series), Sexual Assault Prevention and Response Program </w:t>
      </w:r>
      <w:r w:rsidRPr="00C4479F">
        <w:rPr>
          <w:color w:val="000000" w:themeColor="text1"/>
        </w:rPr>
        <w:t xml:space="preserve">1-6 to 1-9 (2016). </w:t>
      </w:r>
      <w:r w:rsidRPr="00C4479F">
        <w:rPr>
          <w:color w:val="000000" w:themeColor="text1"/>
          <w:u w:val="single"/>
        </w:rPr>
        <w:t>https://media.defense.gov/2017/Mar/29/2001723560/-1/-1/0/CIM_1754_10E.PDF.</w:t>
      </w:r>
    </w:p>
  </w:footnote>
  <w:footnote w:id="7">
    <w:p w14:paraId="1A875AAA" w14:textId="56BAEE22"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Violence Against Women’s Act of 1994, PL 103-322, 108 Stat 1796 (1994). </w:t>
      </w:r>
    </w:p>
  </w:footnote>
  <w:footnote w:id="8">
    <w:p w14:paraId="434059D6" w14:textId="13A10825"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at Titles V-VII.</w:t>
      </w:r>
    </w:p>
  </w:footnote>
  <w:footnote w:id="9">
    <w:p w14:paraId="361C7813" w14:textId="23C23DFF" w:rsidR="00C754C9" w:rsidRDefault="00C754C9">
      <w:pPr>
        <w:pStyle w:val="FootnoteText"/>
      </w:pPr>
      <w:r w:rsidRPr="00C4479F">
        <w:rPr>
          <w:rStyle w:val="FootnoteReference"/>
          <w:color w:val="000000" w:themeColor="text1"/>
        </w:rPr>
        <w:footnoteRef/>
      </w:r>
      <w:r w:rsidRPr="00C4479F">
        <w:rPr>
          <w:color w:val="000000" w:themeColor="text1"/>
        </w:rPr>
        <w:t xml:space="preserve"> Jennifer </w:t>
      </w:r>
      <w:r w:rsidRPr="00C4479F">
        <w:rPr>
          <w:color w:val="000000" w:themeColor="text1"/>
        </w:rPr>
        <w:t>Heintz, </w:t>
      </w:r>
      <w:r w:rsidRPr="00C4479F">
        <w:rPr>
          <w:i/>
          <w:color w:val="000000" w:themeColor="text1"/>
        </w:rPr>
        <w:t>Safe at Home Base? A Look at the Military's New Approach to Dealing with Domestic Violence on Military Installations,</w:t>
      </w:r>
      <w:r w:rsidRPr="00C4479F">
        <w:rPr>
          <w:color w:val="000000" w:themeColor="text1"/>
        </w:rPr>
        <w:t xml:space="preserve"> 48 St. Louis U. L.J. 277, 281 (2003).</w:t>
      </w:r>
    </w:p>
  </w:footnote>
  <w:footnote w:id="10">
    <w:p w14:paraId="244D126E" w14:textId="0621A7A2"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K. J. Wilson, </w:t>
      </w:r>
      <w:r w:rsidRPr="00C4479F">
        <w:rPr>
          <w:i/>
          <w:color w:val="000000" w:themeColor="text1"/>
        </w:rPr>
        <w:t>supra, n</w:t>
      </w:r>
      <w:r w:rsidRPr="00C4479F">
        <w:rPr>
          <w:color w:val="000000" w:themeColor="text1"/>
        </w:rPr>
        <w:t>. 58 at 221.</w:t>
      </w:r>
    </w:p>
  </w:footnote>
  <w:footnote w:id="11">
    <w:p w14:paraId="69B172C8" w14:textId="4F26CC4F"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Simeon </w:t>
      </w:r>
      <w:r w:rsidRPr="00C4479F">
        <w:rPr>
          <w:color w:val="000000" w:themeColor="text1"/>
        </w:rPr>
        <w:t>Stamm, </w:t>
      </w:r>
      <w:r w:rsidRPr="00C4479F">
        <w:rPr>
          <w:i/>
          <w:color w:val="000000" w:themeColor="text1"/>
        </w:rPr>
        <w:t>Intimate Partner Violence in the Military: Securing Our Country, Starting with the Home</w:t>
      </w:r>
      <w:r w:rsidRPr="00C4479F">
        <w:rPr>
          <w:color w:val="000000" w:themeColor="text1"/>
        </w:rPr>
        <w:t>, 47 Fam. Ct. Rev. 321, 326–27 (2009).</w:t>
      </w:r>
    </w:p>
  </w:footnote>
  <w:footnote w:id="12">
    <w:p w14:paraId="4A366CBD" w14:textId="3DAA7C96" w:rsidR="00C754C9" w:rsidRPr="003114E1" w:rsidRDefault="00C754C9" w:rsidP="006A28F3">
      <w:pPr>
        <w:pStyle w:val="FootnoteText"/>
      </w:pPr>
      <w:r w:rsidRPr="00C4479F">
        <w:rPr>
          <w:rStyle w:val="FootnoteReference"/>
          <w:color w:val="000000" w:themeColor="text1"/>
        </w:rPr>
        <w:footnoteRef/>
      </w:r>
      <w:r w:rsidRPr="00C4479F">
        <w:rPr>
          <w:color w:val="000000" w:themeColor="text1"/>
        </w:rPr>
        <w:t xml:space="preserve"> Independent Lens, </w:t>
      </w:r>
      <w:r w:rsidRPr="00C4479F">
        <w:rPr>
          <w:i/>
          <w:color w:val="000000" w:themeColor="text1"/>
        </w:rPr>
        <w:t>The Invisible War Influences Military Policy Changes, Preview: Season 14,</w:t>
      </w:r>
      <w:r w:rsidRPr="00C4479F">
        <w:rPr>
          <w:color w:val="000000" w:themeColor="text1"/>
        </w:rPr>
        <w:t xml:space="preserve">(March 12, 2013) https://www.washingtonpost.com/entertainment/movies/invisible-war-documentary-examines-rape-in-the-military/2012/06/21/gJQAcGqhtV_story.html?noredirect=on&amp;utm_term=.7d472dc6a881; </w:t>
      </w:r>
      <w:r w:rsidRPr="00C4479F">
        <w:rPr>
          <w:i/>
          <w:color w:val="000000" w:themeColor="text1"/>
        </w:rPr>
        <w:t>see also</w:t>
      </w:r>
      <w:r w:rsidRPr="00C4479F">
        <w:rPr>
          <w:color w:val="000000" w:themeColor="text1"/>
        </w:rPr>
        <w:t xml:space="preserve"> United States Coast Guard, </w:t>
      </w:r>
      <w:r w:rsidRPr="00C4479F">
        <w:rPr>
          <w:i/>
          <w:color w:val="000000" w:themeColor="text1"/>
        </w:rPr>
        <w:t xml:space="preserve">2022 Sexual Assault Prevention, Response, and Recovery Strategic Plan </w:t>
      </w:r>
      <w:r w:rsidRPr="00C4479F">
        <w:rPr>
          <w:color w:val="000000" w:themeColor="text1"/>
        </w:rPr>
        <w:t>(2018) https://www.uscg.mil/Portals/0/seniorleadership/COC/2018/SAPRR%20Plan_2018.pdf [Hereinafter 2022 Strategic Plan].</w:t>
      </w:r>
    </w:p>
  </w:footnote>
  <w:footnote w:id="13">
    <w:p w14:paraId="3D38F7B4" w14:textId="1582D26C" w:rsidR="00C754C9" w:rsidRPr="00534DF4" w:rsidRDefault="00C754C9" w:rsidP="001B78A0">
      <w:pPr>
        <w:rPr>
          <w:rFonts w:ascii="Times New Roman" w:eastAsia="Times New Roman" w:hAnsi="Times New Roman" w:cs="Times New Roman"/>
        </w:rPr>
      </w:pPr>
      <w:r>
        <w:rPr>
          <w:rStyle w:val="FootnoteReference"/>
        </w:rPr>
        <w:footnoteRef/>
      </w:r>
      <w:r>
        <w:t xml:space="preserve"> </w:t>
      </w:r>
      <w:r w:rsidRPr="003114E1">
        <w:rPr>
          <w:rFonts w:cstheme="majorHAnsi"/>
          <w:color w:val="212121"/>
          <w:sz w:val="20"/>
          <w:szCs w:val="20"/>
        </w:rPr>
        <w:t xml:space="preserve">Deborah </w:t>
      </w:r>
      <w:r w:rsidRPr="00534DF4">
        <w:rPr>
          <w:rFonts w:cstheme="majorHAnsi"/>
          <w:color w:val="212121"/>
          <w:sz w:val="20"/>
          <w:szCs w:val="20"/>
        </w:rPr>
        <w:t>Epstein,</w:t>
      </w:r>
      <w:r w:rsidRPr="00534DF4">
        <w:rPr>
          <w:rStyle w:val="apple-converted-space"/>
          <w:rFonts w:cstheme="majorHAnsi"/>
          <w:color w:val="212121"/>
          <w:sz w:val="20"/>
          <w:szCs w:val="20"/>
        </w:rPr>
        <w:t> </w:t>
      </w:r>
      <w:r w:rsidRPr="00534DF4">
        <w:rPr>
          <w:rFonts w:cstheme="majorHAnsi"/>
          <w:i/>
          <w:color w:val="000000" w:themeColor="text1"/>
          <w:sz w:val="20"/>
          <w:szCs w:val="20"/>
        </w:rPr>
        <w:t>Procedural Justice: Tempering the State's Response to Domestic Violence</w:t>
      </w:r>
      <w:r w:rsidRPr="00534DF4">
        <w:rPr>
          <w:rFonts w:cstheme="majorHAnsi"/>
          <w:color w:val="000000" w:themeColor="text1"/>
          <w:sz w:val="20"/>
          <w:szCs w:val="20"/>
        </w:rPr>
        <w:t xml:space="preserve">, 43 Wm. &amp; Mary L. Rev. 1843, 1851 (2002); </w:t>
      </w:r>
      <w:r w:rsidRPr="00534DF4">
        <w:rPr>
          <w:rFonts w:cstheme="majorHAnsi"/>
          <w:i/>
          <w:color w:val="000000" w:themeColor="text1"/>
          <w:sz w:val="20"/>
          <w:szCs w:val="20"/>
        </w:rPr>
        <w:t>see also</w:t>
      </w:r>
      <w:r w:rsidRPr="00534DF4">
        <w:rPr>
          <w:rFonts w:cstheme="majorHAnsi"/>
          <w:color w:val="000000" w:themeColor="text1"/>
          <w:sz w:val="20"/>
          <w:szCs w:val="20"/>
        </w:rPr>
        <w:t xml:space="preserve"> </w:t>
      </w:r>
      <w:r w:rsidRPr="00534DF4">
        <w:rPr>
          <w:rFonts w:eastAsia="Times New Roman" w:cs="Arial"/>
          <w:color w:val="252525"/>
          <w:sz w:val="20"/>
          <w:szCs w:val="20"/>
        </w:rPr>
        <w:t xml:space="preserve">Dawn Bradley Berry, </w:t>
      </w:r>
      <w:r w:rsidRPr="00534DF4">
        <w:rPr>
          <w:rFonts w:eastAsia="Times New Roman" w:cs="Arial"/>
          <w:i/>
          <w:color w:val="252525"/>
          <w:sz w:val="20"/>
          <w:szCs w:val="20"/>
        </w:rPr>
        <w:t>The Domestic Violence Sourcebook</w:t>
      </w:r>
      <w:r w:rsidRPr="00534DF4">
        <w:rPr>
          <w:rFonts w:eastAsia="Times New Roman" w:cs="Arial"/>
          <w:color w:val="252525"/>
          <w:sz w:val="20"/>
          <w:szCs w:val="20"/>
        </w:rPr>
        <w:t> 23 (3d ed. 2000)</w:t>
      </w:r>
    </w:p>
    <w:p w14:paraId="522699B2" w14:textId="7F82D46D" w:rsidR="00C754C9" w:rsidRDefault="00C754C9">
      <w:pPr>
        <w:pStyle w:val="FootnoteText"/>
      </w:pPr>
    </w:p>
  </w:footnote>
  <w:footnote w:id="14">
    <w:p w14:paraId="3644A521" w14:textId="2375C65D" w:rsidR="00C754C9" w:rsidRPr="003114E1" w:rsidRDefault="00C754C9">
      <w:pPr>
        <w:pStyle w:val="FootnoteText"/>
      </w:pPr>
      <w:r>
        <w:rPr>
          <w:rStyle w:val="FootnoteReference"/>
        </w:rPr>
        <w:footnoteRef/>
      </w:r>
      <w:r>
        <w:t xml:space="preserve"> Gonzalez &amp; Corbin, </w:t>
      </w:r>
      <w:r>
        <w:rPr>
          <w:i/>
        </w:rPr>
        <w:t>supra</w:t>
      </w:r>
      <w:r>
        <w:t xml:space="preserve">, at 408-413.  </w:t>
      </w:r>
    </w:p>
  </w:footnote>
  <w:footnote w:id="15">
    <w:p w14:paraId="0A8C3852" w14:textId="6DAE3C9A" w:rsidR="00C754C9" w:rsidRPr="00E22D7A" w:rsidRDefault="00C754C9">
      <w:pPr>
        <w:pStyle w:val="FootnoteText"/>
      </w:pPr>
      <w:r>
        <w:rPr>
          <w:rStyle w:val="FootnoteReference"/>
        </w:rPr>
        <w:footnoteRef/>
      </w:r>
      <w:r>
        <w:t xml:space="preserve"> </w:t>
      </w:r>
      <w:r>
        <w:rPr>
          <w:i/>
        </w:rPr>
        <w:t>Id.</w:t>
      </w:r>
    </w:p>
  </w:footnote>
  <w:footnote w:id="16">
    <w:p w14:paraId="719CD057" w14:textId="14ACC7AF" w:rsidR="00C754C9" w:rsidRDefault="00C754C9">
      <w:pPr>
        <w:pStyle w:val="FootnoteText"/>
      </w:pPr>
      <w:r>
        <w:rPr>
          <w:rStyle w:val="FootnoteReference"/>
        </w:rPr>
        <w:footnoteRef/>
      </w:r>
      <w:r>
        <w:t xml:space="preserve"> Kelly &amp; Johnson, </w:t>
      </w:r>
      <w:r>
        <w:rPr>
          <w:i/>
        </w:rPr>
        <w:t>supra</w:t>
      </w:r>
      <w:r>
        <w:t>.</w:t>
      </w:r>
    </w:p>
  </w:footnote>
  <w:footnote w:id="17">
    <w:p w14:paraId="2EEF45AB" w14:textId="5580087D" w:rsidR="00C754C9" w:rsidRPr="00E22D7A" w:rsidRDefault="00C754C9">
      <w:pPr>
        <w:pStyle w:val="FootnoteText"/>
      </w:pPr>
      <w:r>
        <w:rPr>
          <w:rStyle w:val="FootnoteReference"/>
        </w:rPr>
        <w:footnoteRef/>
      </w:r>
      <w:r>
        <w:t xml:space="preserve">  </w:t>
      </w:r>
      <w:r>
        <w:rPr>
          <w:i/>
        </w:rPr>
        <w:t>Id.</w:t>
      </w:r>
      <w:r>
        <w:t xml:space="preserve"> at 485-487</w:t>
      </w:r>
    </w:p>
  </w:footnote>
  <w:footnote w:id="18">
    <w:p w14:paraId="2A4AF641" w14:textId="0E508082" w:rsidR="00C754C9" w:rsidRPr="00E22D7A" w:rsidRDefault="00C754C9">
      <w:pPr>
        <w:pStyle w:val="FootnoteText"/>
      </w:pPr>
      <w:r>
        <w:rPr>
          <w:rStyle w:val="FootnoteReference"/>
        </w:rPr>
        <w:footnoteRef/>
      </w:r>
      <w:r>
        <w:t xml:space="preserve">  </w:t>
      </w:r>
      <w:r>
        <w:rPr>
          <w:i/>
        </w:rPr>
        <w:t>Id.</w:t>
      </w:r>
      <w:r>
        <w:t xml:space="preserve"> </w:t>
      </w:r>
    </w:p>
  </w:footnote>
  <w:footnote w:id="19">
    <w:p w14:paraId="0D4B08BC" w14:textId="6974F4A5" w:rsidR="00C754C9" w:rsidRDefault="00C754C9">
      <w:pPr>
        <w:pStyle w:val="FootnoteText"/>
      </w:pPr>
      <w:r>
        <w:rPr>
          <w:rStyle w:val="FootnoteReference"/>
        </w:rPr>
        <w:footnoteRef/>
      </w:r>
      <w:r>
        <w:t xml:space="preserve">  </w:t>
      </w:r>
      <w:r>
        <w:rPr>
          <w:i/>
        </w:rPr>
        <w:t>Id.</w:t>
      </w:r>
    </w:p>
  </w:footnote>
  <w:footnote w:id="20">
    <w:p w14:paraId="628F7361" w14:textId="38BA5E66" w:rsidR="00C754C9" w:rsidRPr="00E22D7A" w:rsidRDefault="00C754C9">
      <w:pPr>
        <w:pStyle w:val="FootnoteText"/>
      </w:pPr>
      <w:r>
        <w:rPr>
          <w:rStyle w:val="FootnoteReference"/>
        </w:rPr>
        <w:footnoteRef/>
      </w:r>
      <w:r>
        <w:t xml:space="preserve">  </w:t>
      </w:r>
      <w:r>
        <w:rPr>
          <w:i/>
        </w:rPr>
        <w:t xml:space="preserve">Id. </w:t>
      </w:r>
      <w:r>
        <w:t>at 481-484</w:t>
      </w:r>
    </w:p>
  </w:footnote>
  <w:footnote w:id="21">
    <w:p w14:paraId="05A63368" w14:textId="60C44931" w:rsidR="00C754C9" w:rsidRDefault="00C754C9">
      <w:pPr>
        <w:pStyle w:val="FootnoteText"/>
      </w:pPr>
      <w:r>
        <w:rPr>
          <w:rStyle w:val="FootnoteReference"/>
        </w:rPr>
        <w:footnoteRef/>
      </w:r>
      <w:r>
        <w:t xml:space="preserve">  </w:t>
      </w:r>
      <w:r>
        <w:rPr>
          <w:i/>
        </w:rPr>
        <w:t>Id.</w:t>
      </w:r>
    </w:p>
  </w:footnote>
  <w:footnote w:id="22">
    <w:p w14:paraId="2277D1E3" w14:textId="6538CA58" w:rsidR="00C754C9" w:rsidRDefault="00C754C9">
      <w:pPr>
        <w:pStyle w:val="FootnoteText"/>
      </w:pPr>
      <w:r>
        <w:rPr>
          <w:rStyle w:val="FootnoteReference"/>
        </w:rPr>
        <w:footnoteRef/>
      </w:r>
      <w:r>
        <w:t xml:space="preserve"> </w:t>
      </w:r>
      <w:r>
        <w:rPr>
          <w:i/>
        </w:rPr>
        <w:t>Id.</w:t>
      </w:r>
    </w:p>
  </w:footnote>
  <w:footnote w:id="23">
    <w:p w14:paraId="6F03FEC6" w14:textId="4EB7813D" w:rsidR="00C754C9" w:rsidRDefault="00C754C9">
      <w:pPr>
        <w:pStyle w:val="FootnoteText"/>
      </w:pPr>
      <w:r>
        <w:rPr>
          <w:rStyle w:val="FootnoteReference"/>
        </w:rPr>
        <w:footnoteRef/>
      </w:r>
      <w:r>
        <w:t xml:space="preserve">  </w:t>
      </w:r>
      <w:r>
        <w:rPr>
          <w:i/>
        </w:rPr>
        <w:t>Id.</w:t>
      </w:r>
    </w:p>
  </w:footnote>
  <w:footnote w:id="24">
    <w:p w14:paraId="77FEC1E5" w14:textId="0967FED8" w:rsidR="00C754C9" w:rsidRPr="00E22D7A" w:rsidRDefault="00C754C9">
      <w:pPr>
        <w:pStyle w:val="FootnoteText"/>
      </w:pPr>
      <w:r>
        <w:rPr>
          <w:rStyle w:val="FootnoteReference"/>
        </w:rPr>
        <w:footnoteRef/>
      </w:r>
      <w:r>
        <w:t xml:space="preserve">  </w:t>
      </w:r>
      <w:r>
        <w:rPr>
          <w:i/>
        </w:rPr>
        <w:t xml:space="preserve">Id. </w:t>
      </w:r>
      <w:r>
        <w:t>at 484-485</w:t>
      </w:r>
    </w:p>
  </w:footnote>
  <w:footnote w:id="25">
    <w:p w14:paraId="593CB70B" w14:textId="75A863EE" w:rsidR="00C754C9" w:rsidRDefault="00C754C9">
      <w:pPr>
        <w:pStyle w:val="FootnoteText"/>
      </w:pPr>
      <w:r>
        <w:rPr>
          <w:rStyle w:val="FootnoteReference"/>
        </w:rPr>
        <w:footnoteRef/>
      </w:r>
      <w:r>
        <w:t xml:space="preserve">  </w:t>
      </w:r>
      <w:r>
        <w:rPr>
          <w:i/>
        </w:rPr>
        <w:t>Id.</w:t>
      </w:r>
    </w:p>
  </w:footnote>
  <w:footnote w:id="26">
    <w:p w14:paraId="1C2E9784" w14:textId="580E9BE5"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p>
  </w:footnote>
  <w:footnote w:id="27">
    <w:p w14:paraId="0CB6AF9C" w14:textId="73786FAF"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See</w:t>
      </w:r>
      <w:r w:rsidRPr="00C4479F">
        <w:rPr>
          <w:color w:val="000000" w:themeColor="text1"/>
        </w:rPr>
        <w:t xml:space="preserve"> Matthew J. </w:t>
      </w:r>
      <w:r w:rsidRPr="00C4479F">
        <w:rPr>
          <w:color w:val="000000" w:themeColor="text1"/>
        </w:rPr>
        <w:t xml:space="preserve">Breiding et al, </w:t>
      </w:r>
      <w:r w:rsidRPr="00C4479F">
        <w:rPr>
          <w:i/>
          <w:color w:val="000000" w:themeColor="text1"/>
        </w:rPr>
        <w:t>Intimate Partner Violence Surveillance: Uniform Definitions and Recommended Data Elements,</w:t>
      </w:r>
      <w:r w:rsidRPr="00C4479F">
        <w:rPr>
          <w:color w:val="000000" w:themeColor="text1"/>
        </w:rPr>
        <w:t xml:space="preserve"> 4-5 (2015). [Hereinafter </w:t>
      </w:r>
      <w:r w:rsidRPr="00C4479F">
        <w:rPr>
          <w:i/>
          <w:color w:val="000000" w:themeColor="text1"/>
        </w:rPr>
        <w:t>Uniform Definitions</w:t>
      </w:r>
      <w:r w:rsidRPr="00C4479F">
        <w:rPr>
          <w:color w:val="000000" w:themeColor="text1"/>
        </w:rPr>
        <w:t>].</w:t>
      </w:r>
    </w:p>
  </w:footnote>
  <w:footnote w:id="28">
    <w:p w14:paraId="044962EB" w14:textId="04F2DB30" w:rsidR="00C754C9" w:rsidRPr="00826798" w:rsidRDefault="00C754C9">
      <w:pPr>
        <w:pStyle w:val="FootnoteText"/>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w:t>
      </w:r>
    </w:p>
  </w:footnote>
  <w:footnote w:id="29">
    <w:p w14:paraId="20D64A01" w14:textId="495DCA92" w:rsidR="00C754C9" w:rsidRPr="00826798" w:rsidRDefault="00C754C9">
      <w:pPr>
        <w:pStyle w:val="FootnoteText"/>
      </w:pPr>
      <w:r>
        <w:rPr>
          <w:rStyle w:val="FootnoteReference"/>
        </w:rPr>
        <w:footnoteRef/>
      </w:r>
      <w:r>
        <w:t xml:space="preserve">  </w:t>
      </w:r>
      <w:r>
        <w:rPr>
          <w:i/>
        </w:rPr>
        <w:t>Id.</w:t>
      </w:r>
      <w:r>
        <w:t xml:space="preserve"> at 11</w:t>
      </w:r>
    </w:p>
  </w:footnote>
  <w:footnote w:id="30">
    <w:p w14:paraId="5D13F0F8" w14:textId="6110495C" w:rsidR="00C754C9" w:rsidRPr="00826798" w:rsidRDefault="00C754C9">
      <w:pPr>
        <w:pStyle w:val="FootnoteText"/>
      </w:pPr>
      <w:r w:rsidRPr="001B78A0">
        <w:rPr>
          <w:rStyle w:val="FootnoteReference"/>
          <w:color w:val="000000" w:themeColor="text1"/>
        </w:rPr>
        <w:footnoteRef/>
      </w:r>
      <w:r w:rsidRPr="001B78A0">
        <w:rPr>
          <w:color w:val="000000" w:themeColor="text1"/>
        </w:rPr>
        <w:t xml:space="preserve">  </w:t>
      </w:r>
      <w:r>
        <w:rPr>
          <w:i/>
        </w:rPr>
        <w:t>Id</w:t>
      </w:r>
      <w:r w:rsidRPr="00826798">
        <w:rPr>
          <w:i/>
        </w:rPr>
        <w:t>.</w:t>
      </w:r>
    </w:p>
  </w:footnote>
  <w:footnote w:id="31">
    <w:p w14:paraId="4E848B15" w14:textId="180AA34B" w:rsidR="00C754C9" w:rsidRPr="00826798" w:rsidRDefault="00C754C9">
      <w:pPr>
        <w:pStyle w:val="FootnoteText"/>
        <w:rPr>
          <w:color w:val="000000" w:themeColor="text1"/>
        </w:rPr>
      </w:pPr>
      <w:r w:rsidRPr="001B78A0">
        <w:rPr>
          <w:rStyle w:val="FootnoteReference"/>
          <w:color w:val="000000" w:themeColor="text1"/>
        </w:rPr>
        <w:footnoteRef/>
      </w:r>
      <w:r w:rsidRPr="001B78A0">
        <w:rPr>
          <w:color w:val="000000" w:themeColor="text1"/>
        </w:rPr>
        <w:t xml:space="preserve">  </w:t>
      </w:r>
      <w:r w:rsidRPr="00826798">
        <w:rPr>
          <w:i/>
          <w:color w:val="000000" w:themeColor="text1"/>
        </w:rPr>
        <w:t>Id.</w:t>
      </w:r>
      <w:r>
        <w:rPr>
          <w:color w:val="000000" w:themeColor="text1"/>
        </w:rPr>
        <w:t xml:space="preserve"> </w:t>
      </w:r>
      <w:r w:rsidRPr="00165D18">
        <w:rPr>
          <w:color w:val="000000" w:themeColor="text1"/>
        </w:rPr>
        <w:t>According to the uniform definition,</w:t>
      </w:r>
      <w:r w:rsidRPr="00165D18">
        <w:rPr>
          <w:iCs/>
          <w:color w:val="000000" w:themeColor="text1"/>
        </w:rPr>
        <w:t xml:space="preserve"> physical violence is “the intentional use of physical force with the potential for causing death, disability, injury, or harm” and includes anything from slapping, pushing, hitting, burning, using a weapon, or physically restraining another. Sexual violence is “a sexual act that is committed or attempted by another person without freely given consent of the victim or against someone who is unable to consent or refuse” and includes non-contact unwanted sexual experiences, unwanted sexual contact, non-forced penetration consented or acquiesced to by use of intimidation, misuse of authority, of threats, and other completed or attempted forced penetration. Stalking is “a pattern of repeated, unwanted, attention and contact that causes fear or concern for one’s own safety or the safety of someone else” and includes a range from repeated, unwanted communications to spying, breaking into the victim’s home, or making threats of harm that cause fea</w:t>
      </w:r>
      <w:r>
        <w:rPr>
          <w:iCs/>
          <w:color w:val="000000" w:themeColor="text1"/>
        </w:rPr>
        <w:t>r.</w:t>
      </w:r>
      <w:r w:rsidRPr="00165D18">
        <w:rPr>
          <w:iCs/>
          <w:color w:val="000000" w:themeColor="text1"/>
        </w:rPr>
        <w:t xml:space="preserve"> Psychological aggression is the “use of verbal and non-verbal communication with the intent to . . . harm another person mentally or emotionally, and/or . . . exert control over another person” and includes gaslighting, exploitation of vulnerabilities such as immigration status, threats, humiliation, isolation and economic abuse among others.</w:t>
      </w:r>
    </w:p>
  </w:footnote>
  <w:footnote w:id="32">
    <w:p w14:paraId="1B77E013" w14:textId="6659D3E5" w:rsidR="00C754C9" w:rsidRDefault="00C754C9">
      <w:pPr>
        <w:pStyle w:val="FootnoteText"/>
      </w:pPr>
      <w:r>
        <w:rPr>
          <w:rStyle w:val="FootnoteReference"/>
        </w:rPr>
        <w:footnoteRef/>
      </w:r>
      <w:r>
        <w:t xml:space="preserve"> For instance, the CG’s State of Behavioral Health Survey measured a “history of physical abuse” which is defined as including “someone in authority of having some power over you.” This definition includes the power dynamics of coercive controlling violence in an intimate relationship, but also includes workplace relationships and many others. Additionally, the umbrella of “domestic violence” found in the CG’s Family Advocacy Program includes elder abuse and child abuse that occurs in the home – a domestic setting. This also includes IPV, but the measures are skewed by including additional types of violence. </w:t>
      </w:r>
    </w:p>
  </w:footnote>
  <w:footnote w:id="33">
    <w:p w14:paraId="53B4E5D0" w14:textId="1DDE479A" w:rsidR="00C754C9" w:rsidRDefault="00C754C9">
      <w:pPr>
        <w:pStyle w:val="FootnoteText"/>
      </w:pPr>
      <w:r>
        <w:rPr>
          <w:rStyle w:val="FootnoteReference"/>
        </w:rPr>
        <w:footnoteRef/>
      </w:r>
      <w:r>
        <w:t xml:space="preserve"> National Coalition Against Domestic Violence, </w:t>
      </w:r>
      <w:r>
        <w:rPr>
          <w:i/>
        </w:rPr>
        <w:t>Domestic Violence Awareness Month</w:t>
      </w:r>
      <w:r w:rsidRPr="0023294C">
        <w:rPr>
          <w:i/>
        </w:rPr>
        <w:t xml:space="preserve"> </w:t>
      </w:r>
      <w:r>
        <w:t xml:space="preserve">(Dec. 1, 2018), </w:t>
      </w:r>
      <w:r w:rsidRPr="0023294C">
        <w:t>https://ncadv.org/take-action</w:t>
      </w:r>
      <w:r>
        <w:t>.</w:t>
      </w:r>
    </w:p>
  </w:footnote>
  <w:footnote w:id="34">
    <w:p w14:paraId="54932348" w14:textId="04CF2169" w:rsidR="00C754C9" w:rsidRDefault="00C754C9">
      <w:pPr>
        <w:pStyle w:val="FootnoteText"/>
      </w:pPr>
      <w:r>
        <w:rPr>
          <w:rStyle w:val="FootnoteReference"/>
        </w:rPr>
        <w:footnoteRef/>
      </w:r>
      <w:r>
        <w:t xml:space="preserve"> National Sexual Violence Resource Center, </w:t>
      </w:r>
      <w:r w:rsidRPr="0023294C">
        <w:rPr>
          <w:i/>
        </w:rPr>
        <w:t>Sexual Assault Awareness Month</w:t>
      </w:r>
      <w:r>
        <w:t xml:space="preserve"> (Dec. 1, 2018), </w:t>
      </w:r>
      <w:r w:rsidRPr="0023294C">
        <w:t>https://www.nsvrc.org/saam</w:t>
      </w:r>
      <w:r>
        <w:t>.</w:t>
      </w:r>
    </w:p>
  </w:footnote>
  <w:footnote w:id="35">
    <w:p w14:paraId="50ED86B5" w14:textId="00300165" w:rsidR="00C754C9" w:rsidRDefault="00C754C9">
      <w:pPr>
        <w:pStyle w:val="FootnoteText"/>
      </w:pPr>
      <w:r>
        <w:rPr>
          <w:rStyle w:val="FootnoteReference"/>
        </w:rPr>
        <w:footnoteRef/>
      </w:r>
      <w:r>
        <w:t xml:space="preserve"> Patricia Garcia, </w:t>
      </w:r>
      <w:r w:rsidRPr="0023294C">
        <w:rPr>
          <w:i/>
        </w:rPr>
        <w:t>Nicole Kidman on Big Little Lies, Those Therapy Scenes, and Coming Home Covered in Bruises</w:t>
      </w:r>
      <w:r>
        <w:t xml:space="preserve"> (March 27, 2017), </w:t>
      </w:r>
      <w:r w:rsidRPr="0023294C">
        <w:t>https://www.vogue.com/article/nicole-kidman-interview-big-little-lies-celeste</w:t>
      </w:r>
      <w:r>
        <w:t>.</w:t>
      </w:r>
    </w:p>
  </w:footnote>
  <w:footnote w:id="36">
    <w:p w14:paraId="4AACC001" w14:textId="76A50484" w:rsidR="00C754C9" w:rsidRDefault="00C754C9">
      <w:pPr>
        <w:pStyle w:val="FootnoteText"/>
      </w:pPr>
      <w:r>
        <w:rPr>
          <w:rStyle w:val="FootnoteReference"/>
        </w:rPr>
        <w:footnoteRef/>
      </w:r>
      <w:r>
        <w:t xml:space="preserve"> Sarah Kaplan, </w:t>
      </w:r>
      <w:r w:rsidRPr="0023294C">
        <w:rPr>
          <w:i/>
        </w:rPr>
        <w:t xml:space="preserve">Brooke Axtell, survivor of human trafficking and domestic abuse, storms the Grammys </w:t>
      </w:r>
      <w:r>
        <w:t xml:space="preserve">(Feb. 9, 2015)  </w:t>
      </w:r>
      <w:r w:rsidRPr="0023294C">
        <w:t>https://www.washingtonpost.com/news/morning-mix/wp/2015/02/09/brooke-axtell-survivor-of-human-trafficking-and-domestic-abuse-storms-the-grammys/?utm_term=.4407f1bad751</w:t>
      </w:r>
      <w:r>
        <w:t xml:space="preserve">. </w:t>
      </w:r>
    </w:p>
  </w:footnote>
  <w:footnote w:id="37">
    <w:p w14:paraId="07BACB06" w14:textId="57296F43" w:rsidR="00C754C9" w:rsidRDefault="00C754C9">
      <w:pPr>
        <w:pStyle w:val="FootnoteText"/>
      </w:pPr>
      <w:r>
        <w:rPr>
          <w:rStyle w:val="FootnoteReference"/>
        </w:rPr>
        <w:footnoteRef/>
      </w:r>
      <w:r>
        <w:t xml:space="preserve"> We Live Here, </w:t>
      </w:r>
      <w:r w:rsidRPr="0023294C">
        <w:rPr>
          <w:i/>
        </w:rPr>
        <w:t>Nuisance, or Nonsense?</w:t>
      </w:r>
      <w:r>
        <w:t xml:space="preserve"> (last visited Dec 3, 2018) </w:t>
      </w:r>
      <w:r w:rsidRPr="0023294C">
        <w:t>http://www.welivehere.show/posts/2018/4/25/nuisance-or-nonsense</w:t>
      </w:r>
      <w:r>
        <w:t>.</w:t>
      </w:r>
    </w:p>
  </w:footnote>
  <w:footnote w:id="38">
    <w:p w14:paraId="0BEDB1F3" w14:textId="356E6062" w:rsidR="00C754C9" w:rsidRPr="0023294C" w:rsidRDefault="00C754C9">
      <w:pPr>
        <w:pStyle w:val="FootnoteText"/>
      </w:pPr>
      <w:r>
        <w:rPr>
          <w:rStyle w:val="FootnoteReference"/>
        </w:rPr>
        <w:footnoteRef/>
      </w:r>
      <w:r>
        <w:t xml:space="preserve"> </w:t>
      </w:r>
      <w:r>
        <w:rPr>
          <w:i/>
        </w:rPr>
        <w:t>See</w:t>
      </w:r>
      <w:r>
        <w:t xml:space="preserve">, Rebecca Elliot, </w:t>
      </w:r>
      <w:r w:rsidRPr="0023294C">
        <w:rPr>
          <w:i/>
        </w:rPr>
        <w:t>Everything You Need to Know About the Ray Rice Case</w:t>
      </w:r>
      <w:r>
        <w:t xml:space="preserve"> (Feb. 15, 2014) </w:t>
      </w:r>
      <w:r w:rsidRPr="0023294C">
        <w:t>http://time.com/3329351/ray-rice-timeline/</w:t>
      </w:r>
      <w:r>
        <w:t xml:space="preserve">; On Point, </w:t>
      </w:r>
      <w:r w:rsidRPr="005A7796">
        <w:rPr>
          <w:i/>
        </w:rPr>
        <w:t>NFL’s Domestic Violence Problem Returns with Karen Hunt, Reuben Foster News</w:t>
      </w:r>
      <w:r>
        <w:t xml:space="preserve"> (Dec. 4, 2018) </w:t>
      </w:r>
      <w:r w:rsidRPr="005A7796">
        <w:t>https://www.wbur.org/onpoint/2018/12/04/nfl-domestic-violence-kareem-hunt-reuben-foster</w:t>
      </w:r>
      <w:r>
        <w:t>.</w:t>
      </w:r>
    </w:p>
  </w:footnote>
  <w:footnote w:id="39">
    <w:p w14:paraId="346C3E10" w14:textId="5922BEB6" w:rsidR="00C754C9" w:rsidRDefault="00C754C9">
      <w:pPr>
        <w:pStyle w:val="FootnoteText"/>
      </w:pPr>
      <w:r>
        <w:rPr>
          <w:rStyle w:val="FootnoteReference"/>
        </w:rPr>
        <w:footnoteRef/>
      </w:r>
      <w:r>
        <w:t xml:space="preserve"> Me Too Movement, </w:t>
      </w:r>
      <w:r w:rsidRPr="005A7796">
        <w:rPr>
          <w:i/>
        </w:rPr>
        <w:t>History &amp; Vision</w:t>
      </w:r>
      <w:r>
        <w:t xml:space="preserve"> (last visited Dec 4, 2018), </w:t>
      </w:r>
      <w:r w:rsidRPr="005A7796">
        <w:t>https://metoomvmt.org/about/#history</w:t>
      </w:r>
      <w:r>
        <w:t>.</w:t>
      </w:r>
    </w:p>
  </w:footnote>
  <w:footnote w:id="40">
    <w:p w14:paraId="482DACD3" w14:textId="3EC427D2" w:rsidR="00C754C9" w:rsidRPr="005A7796" w:rsidRDefault="00C754C9">
      <w:pPr>
        <w:pStyle w:val="FootnoteText"/>
      </w:pPr>
      <w:r>
        <w:rPr>
          <w:rStyle w:val="FootnoteReference"/>
        </w:rPr>
        <w:footnoteRef/>
      </w:r>
      <w:r>
        <w:t xml:space="preserve"> Me Too Movement, </w:t>
      </w:r>
      <w:r>
        <w:rPr>
          <w:i/>
        </w:rPr>
        <w:t>Advocacy</w:t>
      </w:r>
      <w:r>
        <w:t xml:space="preserve"> (last visited, Dec. 4, 2018), </w:t>
      </w:r>
      <w:r w:rsidRPr="005A7796">
        <w:t>https://metoomvmt.org/advocacy/</w:t>
      </w:r>
      <w:r>
        <w:t>.</w:t>
      </w:r>
    </w:p>
  </w:footnote>
  <w:footnote w:id="41">
    <w:p w14:paraId="05A31973" w14:textId="6D76CBE8" w:rsidR="00C754C9" w:rsidRPr="005A7796" w:rsidRDefault="00C754C9">
      <w:pPr>
        <w:pStyle w:val="FootnoteText"/>
        <w:rPr>
          <w:color w:val="000000" w:themeColor="text1"/>
        </w:rPr>
      </w:pPr>
      <w:r w:rsidRPr="005A7796">
        <w:rPr>
          <w:rStyle w:val="FootnoteReference"/>
          <w:color w:val="000000" w:themeColor="text1"/>
        </w:rPr>
        <w:footnoteRef/>
      </w:r>
      <w:r w:rsidRPr="005A7796">
        <w:rPr>
          <w:color w:val="000000" w:themeColor="text1"/>
        </w:rPr>
        <w:t xml:space="preserve"> </w:t>
      </w:r>
      <w:r w:rsidRPr="005A7796">
        <w:rPr>
          <w:color w:val="000000" w:themeColor="text1"/>
        </w:rPr>
        <w:t>Invisibilia</w:t>
      </w:r>
      <w:r>
        <w:rPr>
          <w:color w:val="000000" w:themeColor="text1"/>
        </w:rPr>
        <w:t xml:space="preserve">, </w:t>
      </w:r>
      <w:r w:rsidRPr="005A7796">
        <w:rPr>
          <w:color w:val="000000" w:themeColor="text1"/>
        </w:rPr>
        <w:t>The Callout</w:t>
      </w:r>
      <w:r>
        <w:rPr>
          <w:color w:val="000000" w:themeColor="text1"/>
        </w:rPr>
        <w:t xml:space="preserve"> (Apr. 13, 2018), </w:t>
      </w:r>
      <w:r w:rsidRPr="005A7796">
        <w:rPr>
          <w:color w:val="000000" w:themeColor="text1"/>
        </w:rPr>
        <w:t>https://www.npr.org/2018/04/13/601971617/the-callout</w:t>
      </w:r>
      <w:r>
        <w:rPr>
          <w:color w:val="000000" w:themeColor="text1"/>
        </w:rPr>
        <w:t>.</w:t>
      </w:r>
    </w:p>
  </w:footnote>
  <w:footnote w:id="42">
    <w:p w14:paraId="6DE9D564" w14:textId="754633B1" w:rsidR="00C754C9" w:rsidRDefault="00C754C9">
      <w:pPr>
        <w:pStyle w:val="FootnoteText"/>
      </w:pPr>
      <w:r>
        <w:rPr>
          <w:rStyle w:val="FootnoteReference"/>
        </w:rPr>
        <w:footnoteRef/>
      </w:r>
      <w:r>
        <w:t xml:space="preserve">  Smith, et. al., </w:t>
      </w:r>
      <w:r>
        <w:rPr>
          <w:i/>
        </w:rPr>
        <w:t>supra</w:t>
      </w:r>
      <w:r>
        <w:t>, at 217-22.</w:t>
      </w:r>
    </w:p>
  </w:footnote>
  <w:footnote w:id="43">
    <w:p w14:paraId="0A4043AC" w14:textId="1EDD9CBC" w:rsidR="00C754C9" w:rsidRPr="00413D3B" w:rsidRDefault="00C754C9">
      <w:pPr>
        <w:pStyle w:val="FootnoteText"/>
        <w:rPr>
          <w:i/>
        </w:rPr>
      </w:pPr>
      <w:r>
        <w:rPr>
          <w:rStyle w:val="FootnoteReference"/>
        </w:rPr>
        <w:footnoteRef/>
      </w:r>
      <w:r>
        <w:rPr>
          <w:i/>
        </w:rPr>
        <w:t xml:space="preserve"> Id.</w:t>
      </w:r>
    </w:p>
  </w:footnote>
  <w:footnote w:id="44">
    <w:p w14:paraId="61B1029A" w14:textId="4044B2DD" w:rsidR="00C754C9" w:rsidRDefault="00C754C9" w:rsidP="00413D3B">
      <w:pPr>
        <w:pStyle w:val="FootnoteText"/>
      </w:pPr>
      <w:r>
        <w:rPr>
          <w:rStyle w:val="FootnoteReference"/>
        </w:rPr>
        <w:footnoteRef/>
      </w:r>
      <w:r>
        <w:t xml:space="preserve"> </w:t>
      </w:r>
      <w:r>
        <w:rPr>
          <w:i/>
        </w:rPr>
        <w:t xml:space="preserve">Id.  </w:t>
      </w:r>
      <w:r w:rsidRPr="005A7796">
        <w:t xml:space="preserve">at </w:t>
      </w:r>
      <w:r w:rsidRPr="005A7796">
        <w:rPr>
          <w:rFonts w:cs="Arial"/>
        </w:rPr>
        <w:t>232.</w:t>
      </w:r>
    </w:p>
  </w:footnote>
  <w:footnote w:id="45">
    <w:p w14:paraId="1DD94509" w14:textId="33D0DEF2"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w:t>
      </w:r>
    </w:p>
  </w:footnote>
  <w:footnote w:id="46">
    <w:p w14:paraId="5EACF0A1" w14:textId="0474992A"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at 117</w:t>
      </w:r>
    </w:p>
  </w:footnote>
  <w:footnote w:id="47">
    <w:p w14:paraId="2D05C5CA" w14:textId="2359C91E" w:rsidR="00C754C9" w:rsidRPr="00C4479F" w:rsidRDefault="00C754C9">
      <w:pPr>
        <w:pStyle w:val="FootnoteText"/>
        <w:rPr>
          <w:bCs/>
          <w:color w:val="000000" w:themeColor="text1"/>
          <w:u w:val="single"/>
        </w:rPr>
      </w:pPr>
      <w:r w:rsidRPr="00C4479F">
        <w:rPr>
          <w:rStyle w:val="FootnoteReference"/>
          <w:color w:val="000000" w:themeColor="text1"/>
        </w:rPr>
        <w:footnoteRef/>
      </w:r>
      <w:r w:rsidRPr="00C4479F">
        <w:rPr>
          <w:color w:val="000000" w:themeColor="text1"/>
        </w:rPr>
        <w:t xml:space="preserve"> Matthew J. </w:t>
      </w:r>
      <w:r w:rsidRPr="00C4479F">
        <w:rPr>
          <w:color w:val="000000" w:themeColor="text1"/>
        </w:rPr>
        <w:t xml:space="preserve">Breiding et al, </w:t>
      </w:r>
      <w:r w:rsidRPr="00C4479F">
        <w:rPr>
          <w:i/>
          <w:color w:val="000000" w:themeColor="text1"/>
        </w:rPr>
        <w:t xml:space="preserve">National Intimate Partner Violence in the United States </w:t>
      </w:r>
      <w:r w:rsidRPr="00C4479F">
        <w:rPr>
          <w:i/>
          <w:color w:val="000000" w:themeColor="text1"/>
        </w:rPr>
        <w:softHyphen/>
        <w:t>– 2010,</w:t>
      </w:r>
      <w:r w:rsidRPr="00C4479F">
        <w:rPr>
          <w:color w:val="000000" w:themeColor="text1"/>
        </w:rPr>
        <w:t>National Center for Injury Prevention and Control, Centers for Disease Control and Prevention 51-52 (2014). [Hereinafter NIPV]</w:t>
      </w:r>
    </w:p>
  </w:footnote>
  <w:footnote w:id="48">
    <w:p w14:paraId="35FDB848" w14:textId="5E0E8BFB" w:rsidR="00C754C9" w:rsidRPr="00A34B81" w:rsidRDefault="00C754C9">
      <w:pPr>
        <w:pStyle w:val="FootnoteText"/>
        <w:rPr>
          <w:color w:val="FF0000"/>
        </w:rPr>
      </w:pPr>
      <w:r w:rsidRPr="00C4479F">
        <w:rPr>
          <w:rStyle w:val="FootnoteReference"/>
          <w:color w:val="000000" w:themeColor="text1"/>
        </w:rPr>
        <w:footnoteRef/>
      </w:r>
      <w:r w:rsidRPr="00C4479F">
        <w:rPr>
          <w:color w:val="000000" w:themeColor="text1"/>
        </w:rPr>
        <w:t xml:space="preserve"> Department of Defense, </w:t>
      </w:r>
      <w:r w:rsidRPr="00C4479F">
        <w:rPr>
          <w:i/>
          <w:color w:val="000000" w:themeColor="text1"/>
        </w:rPr>
        <w:t xml:space="preserve">Report on Child Abuse and Neglect and Domestic Abuse in the Military for Fiscal Year </w:t>
      </w:r>
      <w:r w:rsidRPr="00C4479F">
        <w:rPr>
          <w:color w:val="000000" w:themeColor="text1"/>
        </w:rPr>
        <w:t xml:space="preserve">2017 (Apr. 2018), http://download.militaryonesource.mil/12038/MOS/Reports/FAP-FY17-DoD-Report.pdf; Andrew </w:t>
      </w:r>
      <w:r w:rsidRPr="00C4479F">
        <w:rPr>
          <w:color w:val="000000" w:themeColor="text1"/>
        </w:rPr>
        <w:t xml:space="preserve">Morral, et. al., </w:t>
      </w:r>
      <w:r w:rsidRPr="00C4479F">
        <w:rPr>
          <w:i/>
          <w:color w:val="000000" w:themeColor="text1"/>
        </w:rPr>
        <w:t>Sexual Assault and Sexual Harassment in the U.S. Military: Volume 3. Estimates for Coast Guard Serrvice Members from the 2014 RAMD Military Workplace Study</w:t>
      </w:r>
      <w:r w:rsidRPr="00C4479F">
        <w:rPr>
          <w:color w:val="000000" w:themeColor="text1"/>
        </w:rPr>
        <w:t xml:space="preserve"> xiii (2014), https://www.rand.org/pubs/research_reports/RR870z4.html.</w:t>
      </w:r>
    </w:p>
  </w:footnote>
  <w:footnote w:id="49">
    <w:p w14:paraId="175D3854" w14:textId="3E9AED2D" w:rsidR="00C754C9" w:rsidRPr="00A34B81" w:rsidRDefault="00C754C9">
      <w:pPr>
        <w:pStyle w:val="FootnoteText"/>
        <w:rPr>
          <w:i/>
        </w:rPr>
      </w:pPr>
      <w:r>
        <w:rPr>
          <w:rStyle w:val="FootnoteReference"/>
        </w:rPr>
        <w:footnoteRef/>
      </w:r>
      <w:r>
        <w:t xml:space="preserve"> Department of Defense, </w:t>
      </w:r>
      <w:r>
        <w:rPr>
          <w:i/>
        </w:rPr>
        <w:t>supra</w:t>
      </w:r>
      <w:r>
        <w:t xml:space="preserve">; </w:t>
      </w:r>
      <w:r>
        <w:t xml:space="preserve">Breiding et. al., </w:t>
      </w:r>
      <w:r>
        <w:rPr>
          <w:i/>
        </w:rPr>
        <w:t>NIPV</w:t>
      </w:r>
      <w:r w:rsidRPr="00A34B81">
        <w:t>,</w:t>
      </w:r>
      <w:r>
        <w:rPr>
          <w:i/>
        </w:rPr>
        <w:t xml:space="preserve"> supra</w:t>
      </w:r>
      <w:r w:rsidRPr="00A34B81">
        <w:t>.</w:t>
      </w:r>
    </w:p>
  </w:footnote>
  <w:footnote w:id="50">
    <w:p w14:paraId="40011BE9" w14:textId="482F1D6F" w:rsidR="00C754C9" w:rsidRPr="00A34B81" w:rsidRDefault="00C754C9">
      <w:pPr>
        <w:pStyle w:val="FootnoteText"/>
      </w:pPr>
      <w:r>
        <w:rPr>
          <w:rStyle w:val="FootnoteReference"/>
        </w:rPr>
        <w:footnoteRef/>
      </w:r>
      <w:r>
        <w:t xml:space="preserve"> </w:t>
      </w:r>
      <w:r>
        <w:rPr>
          <w:i/>
        </w:rPr>
        <w:t>See</w:t>
      </w:r>
      <w:r>
        <w:t xml:space="preserve"> fn. 32.</w:t>
      </w:r>
    </w:p>
  </w:footnote>
  <w:footnote w:id="51">
    <w:p w14:paraId="47118ADD" w14:textId="1B202BE3" w:rsidR="00C754C9" w:rsidRPr="00071BF0" w:rsidRDefault="00C754C9">
      <w:pPr>
        <w:pStyle w:val="FootnoteText"/>
      </w:pPr>
      <w:r>
        <w:rPr>
          <w:rStyle w:val="FootnoteReference"/>
        </w:rPr>
        <w:footnoteRef/>
      </w:r>
      <w:r>
        <w:t xml:space="preserve"> </w:t>
      </w:r>
      <w:r>
        <w:t xml:space="preserve">Morral, et. al., </w:t>
      </w:r>
      <w:r>
        <w:rPr>
          <w:i/>
        </w:rPr>
        <w:t>supra</w:t>
      </w:r>
      <w:r>
        <w:t xml:space="preserve"> at 16.</w:t>
      </w:r>
    </w:p>
  </w:footnote>
  <w:footnote w:id="52">
    <w:p w14:paraId="2D59D205" w14:textId="37BB3CDF" w:rsidR="00C754C9" w:rsidRPr="00071BF0" w:rsidRDefault="00C754C9">
      <w:pPr>
        <w:pStyle w:val="FootnoteText"/>
      </w:pPr>
      <w:r>
        <w:rPr>
          <w:rStyle w:val="FootnoteReference"/>
        </w:rPr>
        <w:footnoteRef/>
      </w:r>
      <w:r>
        <w:t xml:space="preserve"> </w:t>
      </w:r>
      <w:r>
        <w:rPr>
          <w:i/>
        </w:rPr>
        <w:t>Id.</w:t>
      </w:r>
      <w:r>
        <w:t xml:space="preserve"> </w:t>
      </w:r>
    </w:p>
  </w:footnote>
  <w:footnote w:id="53">
    <w:p w14:paraId="79AE681C" w14:textId="5C298B88" w:rsidR="00C754C9" w:rsidRDefault="00C754C9">
      <w:pPr>
        <w:pStyle w:val="FootnoteText"/>
      </w:pPr>
      <w:r>
        <w:rPr>
          <w:rStyle w:val="FootnoteReference"/>
        </w:rPr>
        <w:footnoteRef/>
      </w:r>
      <w:r>
        <w:t xml:space="preserve"> </w:t>
      </w:r>
      <w:r>
        <w:rPr>
          <w:i/>
        </w:rPr>
        <w:t>Id.</w:t>
      </w:r>
    </w:p>
  </w:footnote>
  <w:footnote w:id="54">
    <w:p w14:paraId="12E4CB0A" w14:textId="35BE8350" w:rsidR="00C754C9" w:rsidRPr="00071BF0" w:rsidRDefault="00C754C9" w:rsidP="00B76669">
      <w:pPr>
        <w:pStyle w:val="FootnoteText"/>
        <w:rPr>
          <w:bCs/>
        </w:rPr>
      </w:pPr>
      <w:r>
        <w:rPr>
          <w:rStyle w:val="FootnoteReference"/>
        </w:rPr>
        <w:footnoteRef/>
      </w:r>
      <w:r>
        <w:t xml:space="preserve"> </w:t>
      </w:r>
      <w:r>
        <w:rPr>
          <w:i/>
        </w:rPr>
        <w:t>Id.</w:t>
      </w:r>
      <w:r>
        <w:t xml:space="preserve">  at 11. </w:t>
      </w:r>
    </w:p>
  </w:footnote>
  <w:footnote w:id="55">
    <w:p w14:paraId="6E4E0151" w14:textId="60876575" w:rsidR="00C754C9" w:rsidRPr="00C4479F" w:rsidRDefault="00C754C9" w:rsidP="00B7666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at 17, 24.</w:t>
      </w:r>
    </w:p>
  </w:footnote>
  <w:footnote w:id="56">
    <w:p w14:paraId="41957397" w14:textId="54602A50" w:rsidR="00C754C9" w:rsidRPr="00C4479F" w:rsidRDefault="00C754C9" w:rsidP="00B76669">
      <w:pPr>
        <w:pStyle w:val="FootnoteText"/>
        <w:rPr>
          <w:color w:val="000000" w:themeColor="text1"/>
        </w:rPr>
      </w:pPr>
      <w:r w:rsidRPr="00C4479F">
        <w:rPr>
          <w:rStyle w:val="FootnoteReference"/>
          <w:color w:val="000000" w:themeColor="text1"/>
        </w:rPr>
        <w:footnoteRef/>
      </w:r>
      <w:r w:rsidRPr="00C4479F">
        <w:rPr>
          <w:color w:val="000000" w:themeColor="text1"/>
        </w:rPr>
        <w:t xml:space="preserve"> Michele C. Black &amp; Melissa T. Merrick, </w:t>
      </w:r>
      <w:r w:rsidRPr="00C4479F">
        <w:rPr>
          <w:i/>
          <w:color w:val="000000" w:themeColor="text1"/>
        </w:rPr>
        <w:t>Prevalence of Intimate Partner Violence, Sexual Violence, and Stalking among Active Duty Women and Wives of Active Duty Men – Comparisons with Women in the U.S. General Population</w:t>
      </w:r>
      <w:r w:rsidRPr="00C4479F">
        <w:rPr>
          <w:color w:val="000000" w:themeColor="text1"/>
        </w:rPr>
        <w:t xml:space="preserve"> 28 (2010)</w:t>
      </w:r>
      <w:r w:rsidRPr="00C4479F">
        <w:rPr>
          <w:rFonts w:cs="Arial"/>
          <w:color w:val="000000" w:themeColor="text1"/>
        </w:rPr>
        <w:t>. This report is critical to analyzing the prevalence of violence within the military population because it compares prevalence across the general population using the same metrics and definitions. However, the Coast Guard is left out of this survey for unknown reasons.</w:t>
      </w:r>
    </w:p>
  </w:footnote>
  <w:footnote w:id="57">
    <w:p w14:paraId="1D8048BD" w14:textId="5D5063F8" w:rsidR="00C754C9" w:rsidRPr="00C4479F" w:rsidRDefault="00C754C9" w:rsidP="00B7666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36.4% is only slightly lower than the rates within the civilian population at 40.3%.</w:t>
      </w:r>
    </w:p>
  </w:footnote>
  <w:footnote w:id="58">
    <w:p w14:paraId="7D66836E" w14:textId="519FA4B4" w:rsidR="00C754C9" w:rsidRPr="00C4479F" w:rsidRDefault="00C754C9" w:rsidP="00B76669">
      <w:pPr>
        <w:pStyle w:val="FootnoteText"/>
        <w:rPr>
          <w:color w:val="000000" w:themeColor="text1"/>
        </w:rPr>
      </w:pPr>
      <w:r w:rsidRPr="00C4479F">
        <w:rPr>
          <w:rStyle w:val="FootnoteReference"/>
          <w:color w:val="000000" w:themeColor="text1"/>
        </w:rPr>
        <w:footnoteRef/>
      </w:r>
      <w:r w:rsidRPr="00C4479F">
        <w:rPr>
          <w:color w:val="000000" w:themeColor="text1"/>
        </w:rPr>
        <w:t xml:space="preserve"> K. J. Wilson, </w:t>
      </w:r>
      <w:r w:rsidRPr="00C4479F">
        <w:rPr>
          <w:i/>
          <w:color w:val="000000" w:themeColor="text1"/>
        </w:rPr>
        <w:t>supra</w:t>
      </w:r>
      <w:r w:rsidRPr="00C4479F">
        <w:rPr>
          <w:color w:val="000000" w:themeColor="text1"/>
        </w:rPr>
        <w:t>,  at 221.</w:t>
      </w:r>
    </w:p>
  </w:footnote>
  <w:footnote w:id="59">
    <w:p w14:paraId="60CD0287" w14:textId="3DBEEAD9" w:rsidR="00C754C9" w:rsidRPr="00C4479F" w:rsidRDefault="00C754C9" w:rsidP="00B76669">
      <w:pPr>
        <w:rPr>
          <w:rFonts w:eastAsia="Times New Roman" w:cs="Times New Roman"/>
          <w:color w:val="000000" w:themeColor="text1"/>
          <w:sz w:val="20"/>
          <w:szCs w:val="20"/>
        </w:rPr>
      </w:pPr>
      <w:r w:rsidRPr="00C4479F">
        <w:rPr>
          <w:rStyle w:val="FootnoteReference"/>
          <w:color w:val="000000" w:themeColor="text1"/>
          <w:sz w:val="20"/>
          <w:szCs w:val="20"/>
        </w:rPr>
        <w:footnoteRef/>
      </w:r>
      <w:r w:rsidRPr="00C4479F">
        <w:rPr>
          <w:color w:val="000000" w:themeColor="text1"/>
          <w:sz w:val="20"/>
          <w:szCs w:val="20"/>
        </w:rPr>
        <w:t xml:space="preserve"> </w:t>
      </w:r>
      <w:r w:rsidRPr="00C4479F">
        <w:rPr>
          <w:rFonts w:eastAsia="Times New Roman" w:cs="Arial"/>
          <w:color w:val="000000" w:themeColor="text1"/>
          <w:sz w:val="20"/>
          <w:szCs w:val="20"/>
        </w:rPr>
        <w:t xml:space="preserve">Mark Thompson, </w:t>
      </w:r>
      <w:r w:rsidRPr="00C4479F">
        <w:rPr>
          <w:rFonts w:eastAsia="Times New Roman" w:cs="Arial"/>
          <w:i/>
          <w:color w:val="000000" w:themeColor="text1"/>
          <w:sz w:val="20"/>
          <w:szCs w:val="20"/>
        </w:rPr>
        <w:t>The Living Room War</w:t>
      </w:r>
      <w:r w:rsidRPr="00C4479F">
        <w:rPr>
          <w:rFonts w:eastAsia="Times New Roman" w:cs="Arial"/>
          <w:color w:val="000000" w:themeColor="text1"/>
          <w:sz w:val="20"/>
          <w:szCs w:val="20"/>
        </w:rPr>
        <w:t xml:space="preserve"> 48 (May 23, 1994).</w:t>
      </w:r>
    </w:p>
  </w:footnote>
  <w:footnote w:id="60">
    <w:p w14:paraId="33E6E0B7" w14:textId="06728CEA" w:rsidR="00C754C9" w:rsidRPr="00C4479F" w:rsidRDefault="00C754C9" w:rsidP="00B76669">
      <w:pPr>
        <w:rPr>
          <w:rFonts w:eastAsia="Times New Roman" w:cs="Times New Roman"/>
          <w:color w:val="000000" w:themeColor="text1"/>
          <w:sz w:val="20"/>
          <w:szCs w:val="20"/>
        </w:rPr>
      </w:pPr>
      <w:r w:rsidRPr="00C4479F">
        <w:rPr>
          <w:rStyle w:val="FootnoteReference"/>
          <w:color w:val="000000" w:themeColor="text1"/>
          <w:sz w:val="20"/>
          <w:szCs w:val="20"/>
        </w:rPr>
        <w:footnoteRef/>
      </w:r>
      <w:r w:rsidRPr="00C4479F">
        <w:rPr>
          <w:color w:val="000000" w:themeColor="text1"/>
          <w:sz w:val="20"/>
          <w:szCs w:val="20"/>
        </w:rPr>
        <w:t xml:space="preserve"> </w:t>
      </w:r>
      <w:r w:rsidRPr="00C4479F">
        <w:rPr>
          <w:rFonts w:eastAsia="Times New Roman" w:cs="Arial"/>
          <w:color w:val="000000" w:themeColor="text1"/>
          <w:sz w:val="20"/>
          <w:szCs w:val="20"/>
        </w:rPr>
        <w:t xml:space="preserve">Allen G. Breed, </w:t>
      </w:r>
      <w:r w:rsidRPr="00C4479F">
        <w:rPr>
          <w:rFonts w:eastAsia="Times New Roman" w:cs="Arial"/>
          <w:i/>
          <w:color w:val="000000" w:themeColor="text1"/>
          <w:sz w:val="20"/>
          <w:szCs w:val="20"/>
        </w:rPr>
        <w:t>Does Army Breed Domestic Violence? Government to Probe Slayings at Fort Bragg</w:t>
      </w:r>
      <w:r w:rsidRPr="00C4479F">
        <w:rPr>
          <w:rFonts w:eastAsia="Times New Roman" w:cs="Arial"/>
          <w:color w:val="000000" w:themeColor="text1"/>
          <w:sz w:val="20"/>
          <w:szCs w:val="20"/>
        </w:rPr>
        <w:t>, Desert News (Salt Lake City) A7 (Sept. 3-4, 2002).</w:t>
      </w:r>
    </w:p>
  </w:footnote>
  <w:footnote w:id="61">
    <w:p w14:paraId="2E8E2501" w14:textId="77777777" w:rsidR="00C754C9" w:rsidRPr="00C4479F" w:rsidRDefault="00C754C9" w:rsidP="00534DF4">
      <w:pPr>
        <w:pStyle w:val="FootnoteText"/>
        <w:rPr>
          <w:color w:val="000000" w:themeColor="text1"/>
        </w:rPr>
      </w:pPr>
      <w:r w:rsidRPr="00C4479F">
        <w:rPr>
          <w:rStyle w:val="FootnoteReference"/>
          <w:color w:val="000000" w:themeColor="text1"/>
        </w:rPr>
        <w:footnoteRef/>
      </w:r>
      <w:r w:rsidRPr="00C4479F">
        <w:rPr>
          <w:color w:val="000000" w:themeColor="text1"/>
        </w:rPr>
        <w:t xml:space="preserve"> As seen in Black and Merrick’s IPV Military Report, rates vary depending on whether the individual had been deployed in the recent months. Similarly, stress levels and occurrence rates of violence are different among sub groups of those stations afloat or at land within the CG, according to its State of Behavioral Health Survey.</w:t>
      </w:r>
    </w:p>
  </w:footnote>
  <w:footnote w:id="62">
    <w:p w14:paraId="58886645" w14:textId="633D9097" w:rsidR="00C754C9" w:rsidRDefault="00C754C9" w:rsidP="00B76669">
      <w:pPr>
        <w:pStyle w:val="FootnoteText"/>
      </w:pPr>
      <w:r w:rsidRPr="00C4479F">
        <w:rPr>
          <w:rStyle w:val="FootnoteReference"/>
          <w:color w:val="000000" w:themeColor="text1"/>
        </w:rPr>
        <w:footnoteRef/>
      </w:r>
      <w:r w:rsidRPr="00C4479F">
        <w:rPr>
          <w:color w:val="000000" w:themeColor="text1"/>
        </w:rPr>
        <w:t xml:space="preserve"> This comparison may not be accurate or encompass the entire problem. The benefits given by employment in the military and an honorable discharge or retirement after service are so vital to so many families that reporting IPV is discouraged because a report may lead to reprimand and a discharge which means loss of the benefits. </w:t>
      </w:r>
      <w:r>
        <w:t xml:space="preserve">Many victims must weigh a paycheck, health insurance and the GI Bill’s home loans and college funds against their own safety. </w:t>
      </w:r>
    </w:p>
  </w:footnote>
  <w:footnote w:id="63">
    <w:p w14:paraId="203EBDDD" w14:textId="187DCAF3" w:rsidR="00C754C9" w:rsidRPr="00CD503C" w:rsidRDefault="00C754C9">
      <w:pPr>
        <w:pStyle w:val="FootnoteText"/>
        <w:rPr>
          <w:bCs/>
        </w:rPr>
      </w:pPr>
      <w:r>
        <w:rPr>
          <w:rStyle w:val="FootnoteReference"/>
        </w:rPr>
        <w:footnoteRef/>
      </w:r>
      <w:r>
        <w:t xml:space="preserve"> </w:t>
      </w:r>
      <w:r w:rsidRPr="00FA5585">
        <w:t xml:space="preserve">Black </w:t>
      </w:r>
      <w:r>
        <w:t xml:space="preserve">&amp; </w:t>
      </w:r>
      <w:r w:rsidRPr="00FA5585">
        <w:t>Merrick</w:t>
      </w:r>
      <w:r>
        <w:rPr>
          <w:bCs/>
        </w:rPr>
        <w:t xml:space="preserve">, </w:t>
      </w:r>
      <w:r>
        <w:rPr>
          <w:bCs/>
          <w:i/>
        </w:rPr>
        <w:t>supra</w:t>
      </w:r>
      <w:r>
        <w:rPr>
          <w:bCs/>
        </w:rPr>
        <w:t xml:space="preserve"> at 39-41. Compared to 35.7% and 5.1% of women in the general population.</w:t>
      </w:r>
    </w:p>
  </w:footnote>
  <w:footnote w:id="64">
    <w:p w14:paraId="143C73F1" w14:textId="1FA1B13B" w:rsidR="00C754C9" w:rsidRPr="00CD503C" w:rsidRDefault="00C754C9">
      <w:pPr>
        <w:pStyle w:val="FootnoteText"/>
        <w:rPr>
          <w:color w:val="000000" w:themeColor="text1"/>
        </w:rPr>
      </w:pPr>
      <w:r>
        <w:rPr>
          <w:rStyle w:val="FootnoteReference"/>
        </w:rPr>
        <w:footnoteRef/>
      </w:r>
      <w:r>
        <w:t xml:space="preserve"> </w:t>
      </w:r>
      <w:r>
        <w:rPr>
          <w:i/>
        </w:rPr>
        <w:t xml:space="preserve">Id. </w:t>
      </w:r>
      <w:r w:rsidRPr="00070107">
        <w:rPr>
          <w:rFonts w:cs="Arial"/>
          <w:color w:val="FF0000"/>
        </w:rPr>
        <w:t xml:space="preserve"> </w:t>
      </w:r>
      <w:r w:rsidRPr="00CD503C">
        <w:rPr>
          <w:rFonts w:cs="Arial"/>
          <w:color w:val="000000" w:themeColor="text1"/>
        </w:rPr>
        <w:t xml:space="preserve">In comparison, 26.9% and 3.4% of general population had experienced the same violence, respectively.  </w:t>
      </w:r>
    </w:p>
  </w:footnote>
  <w:footnote w:id="65">
    <w:p w14:paraId="6F76F21A" w14:textId="07CB2497" w:rsidR="00C754C9" w:rsidRPr="00CD503C" w:rsidRDefault="00C754C9">
      <w:pPr>
        <w:pStyle w:val="FootnoteText"/>
        <w:rPr>
          <w:color w:val="000000" w:themeColor="text1"/>
        </w:rPr>
      </w:pPr>
      <w:r w:rsidRPr="00CD503C">
        <w:rPr>
          <w:rStyle w:val="FootnoteReference"/>
          <w:color w:val="000000" w:themeColor="text1"/>
        </w:rPr>
        <w:footnoteRef/>
      </w:r>
      <w:r w:rsidRPr="00CD503C">
        <w:rPr>
          <w:color w:val="000000" w:themeColor="text1"/>
        </w:rPr>
        <w:t xml:space="preserve"> </w:t>
      </w:r>
      <w:r>
        <w:rPr>
          <w:rFonts w:cs="Arial"/>
          <w:i/>
          <w:color w:val="000000" w:themeColor="text1"/>
        </w:rPr>
        <w:t>Id.</w:t>
      </w:r>
      <w:r>
        <w:rPr>
          <w:rFonts w:cs="Arial"/>
          <w:color w:val="000000" w:themeColor="text1"/>
        </w:rPr>
        <w:t xml:space="preserve"> at 31.</w:t>
      </w:r>
    </w:p>
  </w:footnote>
  <w:footnote w:id="66">
    <w:p w14:paraId="65E047E0" w14:textId="6997BB0A" w:rsidR="00C754C9" w:rsidRPr="00CD503C" w:rsidRDefault="00C754C9">
      <w:pPr>
        <w:pStyle w:val="FootnoteText"/>
      </w:pPr>
      <w:r w:rsidRPr="00CD503C">
        <w:rPr>
          <w:rStyle w:val="FootnoteReference"/>
          <w:color w:val="000000" w:themeColor="text1"/>
        </w:rPr>
        <w:footnoteRef/>
      </w:r>
      <w:r w:rsidRPr="00CD503C">
        <w:rPr>
          <w:color w:val="000000" w:themeColor="text1"/>
        </w:rPr>
        <w:t xml:space="preserve"> </w:t>
      </w:r>
      <w:r>
        <w:rPr>
          <w:rFonts w:cs="Arial"/>
          <w:i/>
          <w:color w:val="000000" w:themeColor="text1"/>
        </w:rPr>
        <w:t>Id.</w:t>
      </w:r>
      <w:r>
        <w:rPr>
          <w:rFonts w:cs="Arial"/>
          <w:color w:val="000000" w:themeColor="text1"/>
        </w:rPr>
        <w:t xml:space="preserve"> at 37. Comparatively, the rates are nearly identical in the civilian population at 56.7% and 18.8% respectively. </w:t>
      </w:r>
    </w:p>
  </w:footnote>
  <w:footnote w:id="67">
    <w:p w14:paraId="45CCF774" w14:textId="74C708EF" w:rsidR="00C754C9" w:rsidRDefault="00C754C9">
      <w:pPr>
        <w:pStyle w:val="FootnoteText"/>
      </w:pPr>
      <w:r>
        <w:rPr>
          <w:rStyle w:val="FootnoteReference"/>
        </w:rPr>
        <w:footnoteRef/>
      </w:r>
      <w:r>
        <w:t xml:space="preserve"> </w:t>
      </w:r>
      <w:r>
        <w:rPr>
          <w:i/>
        </w:rPr>
        <w:t>Id.</w:t>
      </w:r>
      <w:r>
        <w:t xml:space="preserve"> at 28, 37, 39. 21.2% of women experiencing physical or phycological abuse or aggression versus 5.6% of women experiencing contact sexual violence. </w:t>
      </w:r>
    </w:p>
  </w:footnote>
  <w:footnote w:id="68">
    <w:p w14:paraId="6A0323D4" w14:textId="52003007" w:rsidR="00C754C9" w:rsidRDefault="00C754C9">
      <w:pPr>
        <w:pStyle w:val="FootnoteText"/>
      </w:pPr>
      <w:r>
        <w:rPr>
          <w:rStyle w:val="FootnoteReference"/>
        </w:rPr>
        <w:footnoteRef/>
      </w:r>
      <w:r>
        <w:t xml:space="preserve"> </w:t>
      </w:r>
      <w:r>
        <w:rPr>
          <w:i/>
        </w:rPr>
        <w:t>Id.</w:t>
      </w:r>
      <w:r>
        <w:t xml:space="preserve"> at 28, 31. 5.4% experiencing physical violence and stalking versus 5.6% experiencing contact sexual assault. </w:t>
      </w:r>
    </w:p>
  </w:footnote>
  <w:footnote w:id="69">
    <w:p w14:paraId="3D8B57B5" w14:textId="69EE4B3E" w:rsidR="00C754C9" w:rsidRPr="00C4479F" w:rsidRDefault="00C754C9" w:rsidP="00E8707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00331778" w:rsidRPr="00C4479F">
        <w:rPr>
          <w:color w:val="000000" w:themeColor="text1"/>
        </w:rPr>
        <w:t xml:space="preserve">United States Coast Guard, </w:t>
      </w:r>
      <w:r w:rsidR="00331778" w:rsidRPr="00C4479F">
        <w:rPr>
          <w:i/>
          <w:color w:val="000000" w:themeColor="text1"/>
        </w:rPr>
        <w:t>COMDTINST 1752.1 Family Advocacy Program</w:t>
      </w:r>
      <w:r w:rsidR="00331778" w:rsidRPr="00C4479F">
        <w:rPr>
          <w:color w:val="000000" w:themeColor="text1"/>
        </w:rPr>
        <w:t xml:space="preserve"> (Aug. 14, 2014), https://media.defense.gov/2017/Mar/06/2001707764/-1/-1/0/CI_1752_1.PDF.</w:t>
      </w:r>
    </w:p>
  </w:footnote>
  <w:footnote w:id="70">
    <w:p w14:paraId="036AB29A" w14:textId="5C816BD5"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Department of Defense, </w:t>
      </w:r>
      <w:r w:rsidRPr="00C4479F">
        <w:rPr>
          <w:i/>
          <w:color w:val="000000" w:themeColor="text1"/>
        </w:rPr>
        <w:t>supra</w:t>
      </w:r>
      <w:r w:rsidRPr="00C4479F">
        <w:rPr>
          <w:color w:val="000000" w:themeColor="text1"/>
        </w:rPr>
        <w:t xml:space="preserve">, at </w:t>
      </w:r>
      <w:r w:rsidRPr="00C4479F">
        <w:rPr>
          <w:rFonts w:cs="Arial"/>
          <w:color w:val="000000" w:themeColor="text1"/>
        </w:rPr>
        <w:t>10,13.</w:t>
      </w:r>
    </w:p>
  </w:footnote>
  <w:footnote w:id="71">
    <w:p w14:paraId="592ED45A" w14:textId="564A3293"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00331778" w:rsidRPr="00C4479F">
        <w:rPr>
          <w:color w:val="000000" w:themeColor="text1"/>
        </w:rPr>
        <w:t xml:space="preserve">United States Coast Guard, </w:t>
      </w:r>
      <w:r w:rsidR="00331778" w:rsidRPr="00C4479F">
        <w:rPr>
          <w:rFonts w:cs="Arial"/>
          <w:i/>
          <w:color w:val="000000" w:themeColor="text1"/>
        </w:rPr>
        <w:t>COMDTINST1752.1</w:t>
      </w:r>
      <w:r w:rsidRPr="00C4479F">
        <w:rPr>
          <w:rFonts w:cs="Arial"/>
          <w:i/>
          <w:color w:val="000000" w:themeColor="text1"/>
        </w:rPr>
        <w:t>,</w:t>
      </w:r>
      <w:r w:rsidRPr="00C4479F">
        <w:rPr>
          <w:rFonts w:cs="Arial"/>
          <w:color w:val="000000" w:themeColor="text1"/>
        </w:rPr>
        <w:t xml:space="preserve"> </w:t>
      </w:r>
      <w:r w:rsidRPr="00C4479F">
        <w:rPr>
          <w:rFonts w:cs="Arial"/>
          <w:i/>
          <w:color w:val="000000" w:themeColor="text1"/>
        </w:rPr>
        <w:t>supra</w:t>
      </w:r>
      <w:r w:rsidRPr="00C4479F">
        <w:rPr>
          <w:rFonts w:cs="Arial"/>
          <w:color w:val="000000" w:themeColor="text1"/>
        </w:rPr>
        <w:t>, at encl. 2.</w:t>
      </w:r>
    </w:p>
  </w:footnote>
  <w:footnote w:id="72">
    <w:p w14:paraId="2A095040" w14:textId="2261DD19"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Department of Defense, </w:t>
      </w:r>
      <w:r w:rsidRPr="00C4479F">
        <w:rPr>
          <w:i/>
          <w:color w:val="000000" w:themeColor="text1"/>
        </w:rPr>
        <w:t>supra</w:t>
      </w:r>
      <w:r w:rsidRPr="00C4479F">
        <w:rPr>
          <w:color w:val="000000" w:themeColor="text1"/>
        </w:rPr>
        <w:t>.</w:t>
      </w:r>
    </w:p>
  </w:footnote>
  <w:footnote w:id="73">
    <w:p w14:paraId="1682EDB5" w14:textId="2C88C16F" w:rsidR="00C754C9" w:rsidRPr="00C4479F" w:rsidRDefault="00C754C9" w:rsidP="00FA5585">
      <w:pPr>
        <w:pStyle w:val="FootnoteText"/>
        <w:rPr>
          <w:bCs/>
          <w:color w:val="000000" w:themeColor="text1"/>
        </w:rPr>
      </w:pPr>
      <w:r w:rsidRPr="00C4479F">
        <w:rPr>
          <w:rStyle w:val="FootnoteReference"/>
          <w:color w:val="000000" w:themeColor="text1"/>
        </w:rPr>
        <w:footnoteRef/>
      </w:r>
      <w:r w:rsidRPr="00C4479F">
        <w:rPr>
          <w:color w:val="000000" w:themeColor="text1"/>
        </w:rPr>
        <w:t xml:space="preserve"> </w:t>
      </w:r>
      <w:r w:rsidRPr="00C4479F">
        <w:rPr>
          <w:bCs/>
          <w:i/>
          <w:color w:val="000000" w:themeColor="text1"/>
        </w:rPr>
        <w:t>Id.</w:t>
      </w:r>
      <w:r w:rsidRPr="00C4479F">
        <w:rPr>
          <w:bCs/>
          <w:color w:val="000000" w:themeColor="text1"/>
        </w:rPr>
        <w:t xml:space="preserve"> </w:t>
      </w:r>
    </w:p>
  </w:footnote>
  <w:footnote w:id="74">
    <w:p w14:paraId="7C3A15C4" w14:textId="42D847A5" w:rsidR="00C754C9" w:rsidRDefault="00C754C9">
      <w:pPr>
        <w:pStyle w:val="FootnoteText"/>
      </w:pPr>
      <w:r w:rsidRPr="00C4479F">
        <w:rPr>
          <w:rStyle w:val="FootnoteReference"/>
          <w:color w:val="000000" w:themeColor="text1"/>
        </w:rPr>
        <w:footnoteRef/>
      </w:r>
      <w:r w:rsidRPr="00C4479F">
        <w:rPr>
          <w:color w:val="000000" w:themeColor="text1"/>
        </w:rPr>
        <w:t xml:space="preserve"> </w:t>
      </w:r>
      <w:r w:rsidRPr="00C4479F">
        <w:rPr>
          <w:bCs/>
          <w:i/>
          <w:color w:val="000000" w:themeColor="text1"/>
        </w:rPr>
        <w:t xml:space="preserve">Id. </w:t>
      </w:r>
      <w:r w:rsidRPr="00C4479F">
        <w:rPr>
          <w:bCs/>
          <w:color w:val="000000" w:themeColor="text1"/>
        </w:rPr>
        <w:t>at 39.</w:t>
      </w:r>
      <w:r w:rsidRPr="00C4479F">
        <w:rPr>
          <w:rFonts w:ascii="Arial" w:hAnsi="Arial" w:cs="Arial"/>
          <w:color w:val="000000" w:themeColor="text1"/>
          <w:sz w:val="24"/>
          <w:szCs w:val="24"/>
        </w:rPr>
        <w:t xml:space="preserve"> </w:t>
      </w:r>
      <w:r w:rsidRPr="00C4479F">
        <w:rPr>
          <w:bCs/>
          <w:color w:val="000000" w:themeColor="text1"/>
        </w:rPr>
        <w:t>For a victim to receive FAP benefits, they must either be the CG member themselves, or be the dependent of the CG member. For an offender to receive FAP services, they must be a dependent of the CG member, or be a CG member themselves.</w:t>
      </w:r>
    </w:p>
  </w:footnote>
  <w:footnote w:id="75">
    <w:p w14:paraId="4414F9F1" w14:textId="0EDFE31B" w:rsidR="00C754C9" w:rsidRDefault="00C754C9">
      <w:pPr>
        <w:pStyle w:val="FootnoteText"/>
      </w:pPr>
      <w:r>
        <w:rPr>
          <w:rStyle w:val="FootnoteReference"/>
        </w:rPr>
        <w:footnoteRef/>
      </w:r>
      <w:r>
        <w:t xml:space="preserve"> </w:t>
      </w:r>
      <w:r>
        <w:rPr>
          <w:bCs/>
          <w:i/>
        </w:rPr>
        <w:t>Id. at 41.</w:t>
      </w:r>
    </w:p>
  </w:footnote>
  <w:footnote w:id="76">
    <w:p w14:paraId="04BC12BF" w14:textId="404C52AF" w:rsidR="00C754C9" w:rsidRDefault="00C754C9">
      <w:pPr>
        <w:pStyle w:val="FootnoteText"/>
      </w:pPr>
      <w:r>
        <w:rPr>
          <w:rStyle w:val="FootnoteReference"/>
        </w:rPr>
        <w:footnoteRef/>
      </w:r>
      <w:r>
        <w:t xml:space="preserve"> </w:t>
      </w:r>
      <w:r>
        <w:rPr>
          <w:bCs/>
          <w:i/>
        </w:rPr>
        <w:t>Id.</w:t>
      </w:r>
    </w:p>
  </w:footnote>
  <w:footnote w:id="77">
    <w:p w14:paraId="26FBF7B8" w14:textId="413970F0" w:rsidR="00C754C9" w:rsidRDefault="00C754C9" w:rsidP="00945AD8">
      <w:pPr>
        <w:pStyle w:val="FootnoteText"/>
      </w:pPr>
      <w:r>
        <w:rPr>
          <w:rStyle w:val="FootnoteReference"/>
        </w:rPr>
        <w:footnoteRef/>
      </w:r>
      <w:r>
        <w:t xml:space="preserve"> </w:t>
      </w:r>
      <w:r>
        <w:rPr>
          <w:bCs/>
          <w:i/>
        </w:rPr>
        <w:t>Id.</w:t>
      </w:r>
      <w:r>
        <w:rPr>
          <w:bCs/>
        </w:rPr>
        <w:t xml:space="preserve">  at </w:t>
      </w:r>
      <w:r>
        <w:rPr>
          <w:rFonts w:cs="Arial"/>
          <w:color w:val="000000" w:themeColor="text1"/>
        </w:rPr>
        <w:t>49-52.</w:t>
      </w:r>
      <w:r w:rsidRPr="00E01E0C">
        <w:t xml:space="preserve"> </w:t>
      </w:r>
      <w:r w:rsidRPr="00E01E0C">
        <w:rPr>
          <w:rFonts w:cs="Arial"/>
          <w:color w:val="000000" w:themeColor="text1"/>
        </w:rPr>
        <w:t>Of significance from this FAP report is that  82% of spouse abuse offenders were in the E3-E6 ranks; in other words, they are relatively young enlisted members who have completed basic training and are still early on in their career and early in their family life.  As mentioned above, the majority of survivors report their first experience of IPV between the ages of 18-24, an age range falling squarely within the E3-E6 ranks within the CG.  Not only is it established that the majority of survivors experience violence in those ranges, but the military branches and their program leadership can see first-hand that the vast majority of perpetrators also fall within that critical age range. For the military, this is a warning that cannot be ignored as well as a golden opportunity to target prevention efforts at their youngest and most vulnerable members.</w:t>
      </w:r>
    </w:p>
  </w:footnote>
  <w:footnote w:id="78">
    <w:p w14:paraId="5C9EE7D2" w14:textId="1E0A37DB" w:rsidR="00C754C9" w:rsidRDefault="00C754C9">
      <w:pPr>
        <w:pStyle w:val="FootnoteText"/>
      </w:pPr>
      <w:r>
        <w:rPr>
          <w:rStyle w:val="FootnoteReference"/>
        </w:rPr>
        <w:footnoteRef/>
      </w:r>
      <w:r>
        <w:t xml:space="preserve"> </w:t>
      </w:r>
      <w:r>
        <w:t xml:space="preserve">Mattiko, et. al., 2013 State of the Behavioral Health of the United States Coast Guard (2013), </w:t>
      </w:r>
      <w:r w:rsidRPr="00492244">
        <w:t>https://www.dcms.uscg.mil/Portals/10/CG-1/cg111/docs/HPM/SoBH_Report_2013.pdf?ver=2017-04-06-103135-140</w:t>
      </w:r>
      <w:r>
        <w:t>.</w:t>
      </w:r>
    </w:p>
  </w:footnote>
  <w:footnote w:id="79">
    <w:p w14:paraId="37C555C3" w14:textId="3F2652A9" w:rsidR="00C754C9" w:rsidRPr="00492244" w:rsidRDefault="00C754C9">
      <w:pPr>
        <w:pStyle w:val="FootnoteText"/>
      </w:pPr>
      <w:r>
        <w:rPr>
          <w:rStyle w:val="FootnoteReference"/>
        </w:rPr>
        <w:footnoteRef/>
      </w:r>
      <w:r>
        <w:t xml:space="preserve"> </w:t>
      </w:r>
      <w:r>
        <w:rPr>
          <w:i/>
        </w:rPr>
        <w:t>Id.</w:t>
      </w:r>
      <w:r>
        <w:t xml:space="preserve"> at 165.</w:t>
      </w:r>
    </w:p>
  </w:footnote>
  <w:footnote w:id="80">
    <w:p w14:paraId="60A10FC7" w14:textId="5C90E27D" w:rsidR="00C754C9" w:rsidRDefault="00C754C9">
      <w:pPr>
        <w:pStyle w:val="FootnoteText"/>
      </w:pPr>
      <w:r>
        <w:rPr>
          <w:rStyle w:val="FootnoteReference"/>
        </w:rPr>
        <w:footnoteRef/>
      </w:r>
      <w:r>
        <w:t xml:space="preserve"> </w:t>
      </w:r>
      <w:r w:rsidRPr="00492244">
        <w:rPr>
          <w:i/>
        </w:rPr>
        <w:t>Id.</w:t>
      </w:r>
      <w:r>
        <w:t xml:space="preserve"> </w:t>
      </w:r>
    </w:p>
  </w:footnote>
  <w:footnote w:id="81">
    <w:p w14:paraId="2DAF4B2E" w14:textId="291DC637" w:rsidR="00C754C9" w:rsidRDefault="00C754C9">
      <w:pPr>
        <w:pStyle w:val="FootnoteText"/>
      </w:pPr>
      <w:r>
        <w:rPr>
          <w:rStyle w:val="FootnoteReference"/>
        </w:rPr>
        <w:footnoteRef/>
      </w:r>
      <w:r>
        <w:t xml:space="preserve"> </w:t>
      </w:r>
      <w:r w:rsidRPr="00492244">
        <w:rPr>
          <w:i/>
        </w:rPr>
        <w:t>Id.</w:t>
      </w:r>
      <w:r>
        <w:t xml:space="preserve"> at 165-75.</w:t>
      </w:r>
    </w:p>
  </w:footnote>
  <w:footnote w:id="82">
    <w:p w14:paraId="44032879" w14:textId="1D48DD46" w:rsidR="00C754C9" w:rsidRDefault="00C754C9">
      <w:pPr>
        <w:pStyle w:val="FootnoteText"/>
      </w:pPr>
      <w:r>
        <w:rPr>
          <w:rStyle w:val="FootnoteReference"/>
        </w:rPr>
        <w:footnoteRef/>
      </w:r>
      <w:r>
        <w:t xml:space="preserve"> </w:t>
      </w:r>
      <w:r w:rsidRPr="00492244">
        <w:rPr>
          <w:i/>
        </w:rPr>
        <w:t>Id.</w:t>
      </w:r>
    </w:p>
  </w:footnote>
  <w:footnote w:id="83">
    <w:p w14:paraId="14A85AAB" w14:textId="464571F0" w:rsidR="00C754C9" w:rsidRPr="004245F4" w:rsidRDefault="00C754C9" w:rsidP="004245F4">
      <w:pPr>
        <w:pStyle w:val="FootnoteText"/>
        <w:rPr>
          <w:rFonts w:ascii="Arial" w:hAnsi="Arial" w:cs="Arial"/>
          <w:sz w:val="22"/>
          <w:szCs w:val="22"/>
        </w:rPr>
      </w:pPr>
      <w:r>
        <w:rPr>
          <w:rStyle w:val="FootnoteReference"/>
        </w:rPr>
        <w:footnoteRef/>
      </w:r>
      <w:r>
        <w:t xml:space="preserve"> </w:t>
      </w:r>
      <w:r w:rsidRPr="00492244">
        <w:rPr>
          <w:i/>
        </w:rPr>
        <w:t>Id.</w:t>
      </w:r>
      <w:r>
        <w:t xml:space="preserve"> </w:t>
      </w:r>
      <w:r>
        <w:rPr>
          <w:i/>
        </w:rPr>
        <w:t>See also</w:t>
      </w:r>
      <w:r w:rsidRPr="00492244">
        <w:rPr>
          <w:rFonts w:ascii="Arial" w:hAnsi="Arial" w:cs="Arial"/>
          <w:iCs/>
          <w:sz w:val="22"/>
          <w:szCs w:val="22"/>
        </w:rPr>
        <w:t xml:space="preserve"> </w:t>
      </w:r>
      <w:r w:rsidRPr="00492244">
        <w:rPr>
          <w:rFonts w:cs="Arial"/>
          <w:iCs/>
        </w:rPr>
        <w:t>Kim C. Lim et al.,</w:t>
      </w:r>
      <w:r w:rsidRPr="00492244">
        <w:rPr>
          <w:rFonts w:cs="Arial"/>
          <w:i/>
          <w:iCs/>
        </w:rPr>
        <w:t xml:space="preserve"> Maine Department of Labor and Family Crisis Services, Impact of Domestic Violence Offenders on Occupational Safety &amp; Health: A Pilot Study</w:t>
      </w:r>
      <w:r w:rsidRPr="00492244">
        <w:rPr>
          <w:rFonts w:cs="Arial"/>
        </w:rPr>
        <w:t xml:space="preserve"> (2004).; </w:t>
      </w:r>
      <w:r w:rsidRPr="00492244">
        <w:rPr>
          <w:rFonts w:cs="Arial"/>
          <w:iCs/>
        </w:rPr>
        <w:t xml:space="preserve">Centers for Disease Control and Prevention, National Centers for Injury Prevention and Control, </w:t>
      </w:r>
      <w:r w:rsidRPr="00492244">
        <w:rPr>
          <w:rFonts w:cs="Arial"/>
          <w:i/>
          <w:iCs/>
        </w:rPr>
        <w:t xml:space="preserve">Costs of Intimate Partner Violence Against Women in the United States, (2003). </w:t>
      </w:r>
      <w:r w:rsidRPr="00492244">
        <w:rPr>
          <w:i/>
        </w:rPr>
        <w:t xml:space="preserve"> </w:t>
      </w:r>
      <w:r w:rsidRPr="00492244">
        <w:rPr>
          <w:rFonts w:cs="Arial"/>
        </w:rPr>
        <w:t>Over 40% of victims of IPV report being late to work, distracted at work, and scared, pressured, or harassed while at work because of their abusive partner’s control tactics;  Furthermore, about 8 million days of work are lost annually to victims because of the abuse suffered at the hands of their partner; and the direct medical needs result in more lost work days</w:t>
      </w:r>
      <w:r w:rsidRPr="00492244">
        <w:rPr>
          <w:rStyle w:val="FootnoteReference"/>
          <w:rFonts w:cs="Arial"/>
        </w:rPr>
        <w:footnoteRef/>
      </w:r>
      <w:r w:rsidRPr="00492244">
        <w:rPr>
          <w:rFonts w:cs="Arial"/>
        </w:rPr>
        <w:t>, and an excess of $4.1 billion dollars.</w:t>
      </w:r>
    </w:p>
  </w:footnote>
  <w:footnote w:id="84">
    <w:p w14:paraId="1B78E9E1" w14:textId="4E7AC903" w:rsidR="00C754C9" w:rsidRDefault="00C754C9">
      <w:pPr>
        <w:pStyle w:val="FootnoteText"/>
      </w:pPr>
      <w:r>
        <w:rPr>
          <w:rStyle w:val="FootnoteReference"/>
        </w:rPr>
        <w:footnoteRef/>
      </w:r>
      <w:r>
        <w:t xml:space="preserve"> RAINN, </w:t>
      </w:r>
      <w:r w:rsidRPr="00492244">
        <w:rPr>
          <w:i/>
        </w:rPr>
        <w:t xml:space="preserve">Criminal Justice Statistics </w:t>
      </w:r>
      <w:r>
        <w:t xml:space="preserve">(last visited, Dec. 4, 2018), </w:t>
      </w:r>
      <w:r w:rsidRPr="00492244">
        <w:t>https://www.rainn.org/statistics/criminal-justice-system</w:t>
      </w:r>
      <w:r>
        <w:t>.</w:t>
      </w:r>
    </w:p>
  </w:footnote>
  <w:footnote w:id="85">
    <w:p w14:paraId="020C315B" w14:textId="5E6A09B0" w:rsidR="00C754C9" w:rsidRDefault="00C754C9">
      <w:pPr>
        <w:pStyle w:val="FootnoteText"/>
      </w:pPr>
      <w:r>
        <w:rPr>
          <w:rStyle w:val="FootnoteReference"/>
        </w:rPr>
        <w:footnoteRef/>
      </w:r>
      <w:r>
        <w:t xml:space="preserve"> Bessel Van Der </w:t>
      </w:r>
      <w:r>
        <w:t xml:space="preserve">Kulk, </w:t>
      </w:r>
      <w:r w:rsidRPr="00492244">
        <w:rPr>
          <w:i/>
        </w:rPr>
        <w:t>The Body Keeps the Score</w:t>
      </w:r>
      <w:r>
        <w:t>, (2015).</w:t>
      </w:r>
    </w:p>
  </w:footnote>
  <w:footnote w:id="86">
    <w:p w14:paraId="2EA3AF84" w14:textId="2C44F83D" w:rsidR="00C754C9" w:rsidRPr="005B3DEB" w:rsidRDefault="00C754C9">
      <w:pPr>
        <w:pStyle w:val="FootnoteText"/>
        <w:rPr>
          <w:bCs/>
        </w:rPr>
      </w:pPr>
      <w:r>
        <w:rPr>
          <w:rStyle w:val="FootnoteReference"/>
        </w:rPr>
        <w:footnoteRef/>
      </w:r>
      <w:r>
        <w:t xml:space="preserve"> </w:t>
      </w:r>
      <w:r w:rsidRPr="005B3DEB">
        <w:t xml:space="preserve">Alissa </w:t>
      </w:r>
      <w:r w:rsidRPr="005B3DEB">
        <w:t xml:space="preserve">Pollitz Worden and Bonnie E. Carlson, </w:t>
      </w:r>
      <w:r w:rsidRPr="005B3DEB">
        <w:rPr>
          <w:i/>
        </w:rPr>
        <w:t xml:space="preserve">Attitudes and Beliefs About Domestic Violence: Results of a Public Opinion Survey, </w:t>
      </w:r>
      <w:r w:rsidRPr="005B3DEB">
        <w:t>20 Vol. of Interpersonal Violence 1219 (2005).</w:t>
      </w:r>
      <w:r>
        <w:t xml:space="preserve"> </w:t>
      </w:r>
      <w:r w:rsidRPr="00492244">
        <w:rPr>
          <w:i/>
        </w:rPr>
        <w:t>See also</w:t>
      </w:r>
      <w:r>
        <w:t xml:space="preserve">, </w:t>
      </w:r>
      <w:r w:rsidRPr="005B3DEB">
        <w:rPr>
          <w:bCs/>
        </w:rPr>
        <w:t xml:space="preserve">Michelle Fugate et al, </w:t>
      </w:r>
      <w:r w:rsidRPr="005B3DEB">
        <w:rPr>
          <w:bCs/>
          <w:i/>
        </w:rPr>
        <w:t xml:space="preserve">Barriers to Domestic Violence Help Seeking, </w:t>
      </w:r>
      <w:r w:rsidRPr="005B3DEB">
        <w:rPr>
          <w:bCs/>
        </w:rPr>
        <w:t>11 Violence Against Women 290 (2005).</w:t>
      </w:r>
    </w:p>
  </w:footnote>
  <w:footnote w:id="87">
    <w:p w14:paraId="27228F09" w14:textId="52E3BFCC" w:rsidR="00C754C9" w:rsidRPr="00492244" w:rsidRDefault="00C754C9">
      <w:pPr>
        <w:pStyle w:val="FootnoteText"/>
      </w:pPr>
      <w:r>
        <w:rPr>
          <w:rStyle w:val="FootnoteReference"/>
        </w:rPr>
        <w:footnoteRef/>
      </w:r>
      <w:r>
        <w:t xml:space="preserve"> </w:t>
      </w:r>
      <w:r>
        <w:t xml:space="preserve">Breiding et. al., </w:t>
      </w:r>
      <w:r w:rsidRPr="00254EE1">
        <w:rPr>
          <w:i/>
        </w:rPr>
        <w:t>NIPV</w:t>
      </w:r>
      <w:r>
        <w:t xml:space="preserve">, </w:t>
      </w:r>
      <w:r>
        <w:rPr>
          <w:i/>
        </w:rPr>
        <w:t>supra</w:t>
      </w:r>
      <w:r>
        <w:t>.</w:t>
      </w:r>
    </w:p>
  </w:footnote>
  <w:footnote w:id="88">
    <w:p w14:paraId="38A93E2A" w14:textId="2D243FD4" w:rsidR="00C754C9" w:rsidRDefault="00C754C9">
      <w:pPr>
        <w:pStyle w:val="FootnoteText"/>
      </w:pPr>
      <w:r>
        <w:rPr>
          <w:rStyle w:val="FootnoteReference"/>
        </w:rPr>
        <w:footnoteRef/>
      </w:r>
      <w:r>
        <w:t xml:space="preserve"> </w:t>
      </w:r>
      <w:r>
        <w:t xml:space="preserve">Breiding et. al., </w:t>
      </w:r>
      <w:r w:rsidRPr="00254EE1">
        <w:rPr>
          <w:i/>
        </w:rPr>
        <w:t>NIPV</w:t>
      </w:r>
      <w:r>
        <w:t xml:space="preserve">, </w:t>
      </w:r>
      <w:r>
        <w:rPr>
          <w:i/>
        </w:rPr>
        <w:t>supra</w:t>
      </w:r>
      <w:r>
        <w:t>.</w:t>
      </w:r>
      <w:r>
        <w:rPr>
          <w:rFonts w:cs="Arial"/>
          <w:color w:val="000000" w:themeColor="text1"/>
        </w:rPr>
        <w:t xml:space="preserve"> at 13.</w:t>
      </w:r>
    </w:p>
  </w:footnote>
  <w:footnote w:id="89">
    <w:p w14:paraId="1BAA13E2" w14:textId="1D5A52B9" w:rsidR="00C754C9" w:rsidRPr="00254EE1" w:rsidRDefault="00C754C9">
      <w:pPr>
        <w:pStyle w:val="FootnoteText"/>
      </w:pPr>
      <w:r>
        <w:rPr>
          <w:rStyle w:val="FootnoteReference"/>
        </w:rPr>
        <w:footnoteRef/>
      </w:r>
      <w:r>
        <w:t xml:space="preserve"> </w:t>
      </w:r>
      <w:r w:rsidRPr="00254EE1">
        <w:rPr>
          <w:rFonts w:cs="Arial"/>
          <w:color w:val="000000" w:themeColor="text1"/>
        </w:rPr>
        <w:t xml:space="preserve">Black &amp; Merrick, </w:t>
      </w:r>
      <w:r w:rsidRPr="00254EE1">
        <w:rPr>
          <w:rFonts w:cs="Arial"/>
          <w:i/>
          <w:color w:val="000000" w:themeColor="text1"/>
        </w:rPr>
        <w:t>supra</w:t>
      </w:r>
      <w:r w:rsidRPr="00254EE1">
        <w:rPr>
          <w:rFonts w:cs="Arial"/>
          <w:color w:val="000000" w:themeColor="text1"/>
        </w:rPr>
        <w:t>, at 28</w:t>
      </w:r>
      <w:r>
        <w:rPr>
          <w:rFonts w:cs="Arial"/>
          <w:color w:val="000000" w:themeColor="text1"/>
        </w:rPr>
        <w:t>.</w:t>
      </w:r>
    </w:p>
  </w:footnote>
  <w:footnote w:id="90">
    <w:p w14:paraId="22D03C44" w14:textId="276CB38C" w:rsidR="00C754C9" w:rsidRDefault="00C754C9">
      <w:pPr>
        <w:pStyle w:val="FootnoteText"/>
      </w:pPr>
      <w:r>
        <w:rPr>
          <w:rStyle w:val="FootnoteReference"/>
        </w:rPr>
        <w:footnoteRef/>
      </w:r>
      <w:r>
        <w:t xml:space="preserve"> </w:t>
      </w:r>
      <w:r>
        <w:rPr>
          <w:rFonts w:cs="Arial"/>
          <w:color w:val="000000" w:themeColor="text1"/>
        </w:rPr>
        <w:t xml:space="preserve">Sharon G. Smith, </w:t>
      </w:r>
      <w:r>
        <w:rPr>
          <w:rFonts w:cs="Arial"/>
          <w:i/>
          <w:color w:val="000000" w:themeColor="text1"/>
        </w:rPr>
        <w:t>supra,</w:t>
      </w:r>
      <w:r>
        <w:rPr>
          <w:rFonts w:cs="Arial"/>
        </w:rPr>
        <w:t xml:space="preserve"> at 219.</w:t>
      </w:r>
    </w:p>
  </w:footnote>
  <w:footnote w:id="91">
    <w:p w14:paraId="3B125006" w14:textId="1030BEEE" w:rsidR="00C754C9" w:rsidRPr="00C4479F" w:rsidRDefault="00C754C9" w:rsidP="00254EE1">
      <w:pPr>
        <w:rPr>
          <w:rFonts w:cs="Arial"/>
          <w:color w:val="000000" w:themeColor="text1"/>
          <w:sz w:val="20"/>
          <w:szCs w:val="20"/>
        </w:rPr>
      </w:pPr>
      <w:r w:rsidRPr="00C4479F">
        <w:rPr>
          <w:rStyle w:val="FootnoteReference"/>
          <w:color w:val="000000" w:themeColor="text1"/>
          <w:sz w:val="20"/>
          <w:szCs w:val="20"/>
        </w:rPr>
        <w:footnoteRef/>
      </w:r>
      <w:r w:rsidRPr="00C4479F">
        <w:rPr>
          <w:color w:val="000000" w:themeColor="text1"/>
          <w:sz w:val="20"/>
          <w:szCs w:val="20"/>
        </w:rPr>
        <w:t xml:space="preserve"> </w:t>
      </w:r>
      <w:r w:rsidRPr="00C4479F">
        <w:rPr>
          <w:rFonts w:cs="Arial"/>
          <w:color w:val="000000" w:themeColor="text1"/>
          <w:sz w:val="20"/>
          <w:szCs w:val="20"/>
        </w:rPr>
        <w:t xml:space="preserve">Samantha Allen, </w:t>
      </w:r>
      <w:r w:rsidRPr="00C4479F">
        <w:rPr>
          <w:rFonts w:cs="Arial"/>
          <w:i/>
          <w:color w:val="000000" w:themeColor="text1"/>
          <w:sz w:val="20"/>
          <w:szCs w:val="20"/>
        </w:rPr>
        <w:t>Marital Rape is Semi-Legal in 8 States</w:t>
      </w:r>
      <w:r w:rsidRPr="00C4479F">
        <w:rPr>
          <w:rFonts w:cs="Arial"/>
          <w:color w:val="000000" w:themeColor="text1"/>
          <w:sz w:val="20"/>
          <w:szCs w:val="20"/>
        </w:rPr>
        <w:t xml:space="preserve">, The Daily Beast (June 6, 2015). </w:t>
      </w:r>
      <w:hyperlink r:id="rId1" w:history="1">
        <w:r w:rsidRPr="00C4479F">
          <w:rPr>
            <w:rStyle w:val="Hyperlink"/>
            <w:rFonts w:cs="Arial"/>
            <w:color w:val="000000" w:themeColor="text1"/>
            <w:sz w:val="20"/>
            <w:szCs w:val="20"/>
            <w:u w:val="none"/>
          </w:rPr>
          <w:t>https://www.thedailybeast.com/marital-rape-is-semi-legal-in-8-states</w:t>
        </w:r>
      </w:hyperlink>
      <w:r w:rsidRPr="00C4479F">
        <w:rPr>
          <w:rFonts w:cs="Arial"/>
          <w:color w:val="000000" w:themeColor="text1"/>
          <w:sz w:val="20"/>
          <w:szCs w:val="20"/>
        </w:rPr>
        <w:t xml:space="preserve"> </w:t>
      </w:r>
    </w:p>
  </w:footnote>
  <w:footnote w:id="92">
    <w:p w14:paraId="4EAB08E1" w14:textId="0A87167D" w:rsidR="00C754C9" w:rsidRPr="00C4479F" w:rsidRDefault="00C754C9" w:rsidP="00254EE1">
      <w:pPr>
        <w:pStyle w:val="FootnoteText"/>
        <w:rPr>
          <w:color w:val="000000" w:themeColor="text1"/>
        </w:rPr>
      </w:pPr>
      <w:r w:rsidRPr="00C4479F">
        <w:rPr>
          <w:rStyle w:val="FootnoteReference"/>
          <w:color w:val="000000" w:themeColor="text1"/>
        </w:rPr>
        <w:footnoteRef/>
      </w:r>
      <w:r w:rsidRPr="00C4479F">
        <w:rPr>
          <w:color w:val="000000" w:themeColor="text1"/>
        </w:rPr>
        <w:t xml:space="preserve"> 10 U.S.C.A. § 920 (West).</w:t>
      </w:r>
    </w:p>
  </w:footnote>
  <w:footnote w:id="93">
    <w:p w14:paraId="766BFA34" w14:textId="7C8EFADA" w:rsidR="00C754C9" w:rsidRPr="00C4479F" w:rsidRDefault="00C754C9" w:rsidP="00254EE1">
      <w:pPr>
        <w:pStyle w:val="FootnoteText"/>
        <w:rPr>
          <w:color w:val="000000" w:themeColor="text1"/>
        </w:rPr>
      </w:pPr>
      <w:r w:rsidRPr="00C4479F">
        <w:rPr>
          <w:rStyle w:val="FootnoteReference"/>
          <w:color w:val="000000" w:themeColor="text1"/>
        </w:rPr>
        <w:footnoteRef/>
      </w:r>
      <w:r w:rsidRPr="00C4479F">
        <w:rPr>
          <w:color w:val="000000" w:themeColor="text1"/>
        </w:rPr>
        <w:t xml:space="preserve"> Manual for Courts Martial, United States pr. XXVII, paragraph 199(a) (1951); </w:t>
      </w:r>
    </w:p>
  </w:footnote>
  <w:footnote w:id="94">
    <w:p w14:paraId="769D80FD" w14:textId="0BE8335C" w:rsidR="00C754C9" w:rsidRDefault="00C754C9" w:rsidP="00254EE1">
      <w:pPr>
        <w:pStyle w:val="FootnoteText"/>
      </w:pPr>
      <w:r w:rsidRPr="00C4479F">
        <w:rPr>
          <w:rStyle w:val="FootnoteReference"/>
          <w:color w:val="000000" w:themeColor="text1"/>
        </w:rPr>
        <w:footnoteRef/>
      </w:r>
      <w:r w:rsidRPr="00C4479F">
        <w:rPr>
          <w:color w:val="000000" w:themeColor="text1"/>
        </w:rPr>
        <w:t xml:space="preserve"> One step forward, two steps back, p 36-37,  </w:t>
      </w:r>
      <w:r w:rsidRPr="00C4479F">
        <w:rPr>
          <w:rStyle w:val="Hyperlink"/>
          <w:color w:val="000000" w:themeColor="text1"/>
          <w:u w:val="none"/>
        </w:rPr>
        <w:t>http://www.dtic.mil/dtic/tr/fulltext/u2/a519227.pdf</w:t>
      </w:r>
      <w:r w:rsidRPr="00C4479F">
        <w:rPr>
          <w:color w:val="000000" w:themeColor="text1"/>
        </w:rPr>
        <w:t>; UCMJ 2008, http://jpp.whs.mil/public/docs/03_Topic-Areas/02-Article_120/20150116/47_2008_MCM_PtIV_Sec45_Art120.pdf</w:t>
      </w:r>
    </w:p>
  </w:footnote>
  <w:footnote w:id="95">
    <w:p w14:paraId="25E307E4" w14:textId="672E01E0"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Many CG members rely on the paper copy of the UCMJ found at their units – some of which haven’t been updated in decades. In fact, the top result of a Google search for “UCMJ” returns an Air Force web page with a pre-1993 text where spousal rape is legal. </w:t>
      </w:r>
      <w:hyperlink r:id="rId2" w:history="1">
        <w:r w:rsidRPr="00C4479F">
          <w:rPr>
            <w:rStyle w:val="Hyperlink"/>
            <w:color w:val="000000" w:themeColor="text1"/>
            <w:u w:val="none"/>
          </w:rPr>
          <w:t>http://www.au.af.mil/au/awc/awcgate/ucmj2.htm</w:t>
        </w:r>
      </w:hyperlink>
      <w:r w:rsidRPr="00C4479F">
        <w:rPr>
          <w:color w:val="000000" w:themeColor="text1"/>
        </w:rPr>
        <w:t xml:space="preserve"> The fifth search from the top – after Wikipedia, Cornell Law (admittedly unfriendly to non-law people) and a site that doesn’t actually list text, is a UCMJ.US site – also, admittedly legitimate seeming, which also displays a pre-1993 edition legalizing spousal rape. </w:t>
      </w:r>
      <w:hyperlink r:id="rId3" w:history="1">
        <w:r w:rsidRPr="00C4479F">
          <w:rPr>
            <w:rStyle w:val="Hyperlink"/>
            <w:color w:val="000000" w:themeColor="text1"/>
            <w:u w:val="none"/>
          </w:rPr>
          <w:t>http://www.ucmj.us/sub-chapter-10-punitive-articles/920-article-120-rape-and-carnal-knowledge</w:t>
        </w:r>
      </w:hyperlink>
      <w:r w:rsidRPr="00C4479F">
        <w:rPr>
          <w:color w:val="000000" w:themeColor="text1"/>
        </w:rPr>
        <w:t xml:space="preserve"> </w:t>
      </w:r>
    </w:p>
  </w:footnote>
  <w:footnote w:id="96">
    <w:p w14:paraId="02B5B8C0" w14:textId="1981FB2D"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Unites States Coast Guard, </w:t>
      </w:r>
      <w:r w:rsidRPr="00C4479F">
        <w:rPr>
          <w:i/>
          <w:color w:val="000000" w:themeColor="text1"/>
        </w:rPr>
        <w:t>2022 Strategic Plan</w:t>
      </w:r>
      <w:r w:rsidRPr="00C4479F">
        <w:rPr>
          <w:color w:val="000000" w:themeColor="text1"/>
        </w:rPr>
        <w:t xml:space="preserve">, </w:t>
      </w:r>
      <w:r w:rsidRPr="00C4479F">
        <w:rPr>
          <w:i/>
          <w:color w:val="000000" w:themeColor="text1"/>
        </w:rPr>
        <w:t>supra</w:t>
      </w:r>
      <w:r w:rsidRPr="00C4479F">
        <w:rPr>
          <w:color w:val="000000" w:themeColor="text1"/>
        </w:rPr>
        <w:t>, at 8.</w:t>
      </w:r>
    </w:p>
  </w:footnote>
  <w:footnote w:id="97">
    <w:p w14:paraId="5B7A9795" w14:textId="33A07EB9" w:rsidR="00C754C9" w:rsidRPr="00C4479F" w:rsidRDefault="00C754C9" w:rsidP="000E0156">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p>
  </w:footnote>
  <w:footnote w:id="98">
    <w:p w14:paraId="033BE0B9" w14:textId="407D75A9" w:rsidR="00C754C9" w:rsidRPr="00C4479F" w:rsidRDefault="00C754C9" w:rsidP="00254EE1">
      <w:pPr>
        <w:pStyle w:val="FootnoteText"/>
        <w:rPr>
          <w:color w:val="000000" w:themeColor="text1"/>
        </w:rPr>
      </w:pPr>
      <w:r w:rsidRPr="00C4479F">
        <w:rPr>
          <w:rStyle w:val="FootnoteReference"/>
          <w:color w:val="000000" w:themeColor="text1"/>
        </w:rPr>
        <w:footnoteRef/>
      </w:r>
      <w:r w:rsidRPr="00C4479F">
        <w:rPr>
          <w:color w:val="000000" w:themeColor="text1"/>
        </w:rPr>
        <w:t xml:space="preserve"> US Coast Guard, </w:t>
      </w:r>
      <w:r w:rsidRPr="00C4479F">
        <w:rPr>
          <w:i/>
          <w:color w:val="000000" w:themeColor="text1"/>
        </w:rPr>
        <w:t xml:space="preserve">COMDTINST 5520.5F, Coast Guard Investigative Service Roles and Responsibilities, </w:t>
      </w:r>
      <w:r w:rsidRPr="00C4479F">
        <w:rPr>
          <w:color w:val="000000" w:themeColor="text1"/>
        </w:rPr>
        <w:t>(30 Nov 2011),</w:t>
      </w:r>
      <w:r w:rsidRPr="00C4479F">
        <w:rPr>
          <w:rStyle w:val="Hyperlink"/>
          <w:color w:val="000000" w:themeColor="text1"/>
          <w:u w:val="none"/>
        </w:rPr>
        <w:t xml:space="preserve"> </w:t>
      </w:r>
      <w:hyperlink r:id="rId4" w:history="1">
        <w:r w:rsidRPr="00C4479F">
          <w:rPr>
            <w:rStyle w:val="Hyperlink"/>
            <w:color w:val="000000" w:themeColor="text1"/>
            <w:u w:val="none"/>
          </w:rPr>
          <w:t>https://media.defense.gov/2017/Mar/14/2001716375/-1/-1/0/CI_5520_5F.PDF</w:t>
        </w:r>
      </w:hyperlink>
      <w:r w:rsidRPr="00C4479F">
        <w:rPr>
          <w:rStyle w:val="Hyperlink"/>
          <w:color w:val="000000" w:themeColor="text1"/>
          <w:u w:val="none"/>
        </w:rPr>
        <w:t>.</w:t>
      </w:r>
    </w:p>
  </w:footnote>
  <w:footnote w:id="99">
    <w:p w14:paraId="27C342CC" w14:textId="2F2A55C0" w:rsidR="00C754C9" w:rsidRPr="00334CB2" w:rsidRDefault="00C754C9" w:rsidP="00117A78">
      <w:pPr>
        <w:pStyle w:val="FootnoteText"/>
        <w:spacing w:line="360" w:lineRule="auto"/>
        <w:rPr>
          <w:color w:val="000000"/>
        </w:rPr>
      </w:pPr>
      <w:r w:rsidRPr="00C4479F">
        <w:rPr>
          <w:rStyle w:val="FootnoteReference"/>
          <w:color w:val="000000" w:themeColor="text1"/>
        </w:rPr>
        <w:footnoteRef/>
      </w:r>
      <w:r w:rsidRPr="00C4479F">
        <w:rPr>
          <w:color w:val="000000" w:themeColor="text1"/>
        </w:rPr>
        <w:t xml:space="preserve"> 10 U.S.C.A. §§ 801-936 (West).</w:t>
      </w:r>
    </w:p>
  </w:footnote>
  <w:footnote w:id="100">
    <w:p w14:paraId="1E1BAC45" w14:textId="74D7EB8C" w:rsidR="00C754C9" w:rsidRDefault="00C754C9">
      <w:pPr>
        <w:pStyle w:val="FootnoteText"/>
      </w:pPr>
      <w:r>
        <w:rPr>
          <w:rStyle w:val="FootnoteReference"/>
        </w:rPr>
        <w:footnoteRef/>
      </w:r>
      <w:r>
        <w:t xml:space="preserve"> 10 U.S.C.A. </w:t>
      </w:r>
      <w:r w:rsidRPr="0050396C">
        <w:rPr>
          <w:color w:val="000000"/>
        </w:rPr>
        <w:t>§</w:t>
      </w:r>
      <w:r>
        <w:rPr>
          <w:color w:val="000000"/>
        </w:rPr>
        <w:t xml:space="preserve"> 920 (West).</w:t>
      </w:r>
    </w:p>
  </w:footnote>
  <w:footnote w:id="101">
    <w:p w14:paraId="308677B3" w14:textId="58E19E62" w:rsidR="00C754C9" w:rsidRDefault="00C754C9">
      <w:pPr>
        <w:pStyle w:val="FootnoteText"/>
      </w:pPr>
      <w:r>
        <w:rPr>
          <w:rStyle w:val="FootnoteReference"/>
        </w:rPr>
        <w:footnoteRef/>
      </w:r>
      <w:r>
        <w:t xml:space="preserve"> </w:t>
      </w:r>
      <w:r w:rsidRPr="0050396C">
        <w:t xml:space="preserve">United States Coast Guard, </w:t>
      </w:r>
      <w:r w:rsidRPr="0050396C">
        <w:rPr>
          <w:i/>
        </w:rPr>
        <w:t>COMDTINST 5520.5F,</w:t>
      </w:r>
      <w:r w:rsidRPr="0050396C">
        <w:t xml:space="preserve"> </w:t>
      </w:r>
      <w:r>
        <w:rPr>
          <w:i/>
        </w:rPr>
        <w:t>supra.</w:t>
      </w:r>
    </w:p>
  </w:footnote>
  <w:footnote w:id="102">
    <w:p w14:paraId="2A2819C0" w14:textId="258DF689" w:rsidR="00C754C9" w:rsidRPr="00C754C9" w:rsidRDefault="00C754C9">
      <w:pPr>
        <w:pStyle w:val="FootnoteText"/>
      </w:pPr>
      <w:r>
        <w:rPr>
          <w:rStyle w:val="FootnoteReference"/>
        </w:rPr>
        <w:footnoteRef/>
      </w:r>
      <w:r>
        <w:t xml:space="preserve"> Independent Lens, </w:t>
      </w:r>
      <w:r>
        <w:rPr>
          <w:i/>
        </w:rPr>
        <w:t>supra</w:t>
      </w:r>
      <w:r>
        <w:t>.</w:t>
      </w:r>
    </w:p>
  </w:footnote>
  <w:footnote w:id="103">
    <w:p w14:paraId="3B759ED2" w14:textId="77777777" w:rsidR="00C754C9" w:rsidRPr="00DA1453" w:rsidRDefault="00C754C9" w:rsidP="002C600E">
      <w:pPr>
        <w:spacing w:line="360" w:lineRule="auto"/>
        <w:rPr>
          <w:sz w:val="20"/>
          <w:szCs w:val="20"/>
        </w:rPr>
      </w:pPr>
      <w:r w:rsidRPr="00C852F5">
        <w:rPr>
          <w:rStyle w:val="FootnoteReference"/>
          <w:sz w:val="20"/>
          <w:szCs w:val="20"/>
        </w:rPr>
        <w:footnoteRef/>
      </w:r>
      <w:r w:rsidRPr="00C852F5">
        <w:rPr>
          <w:sz w:val="20"/>
          <w:szCs w:val="20"/>
        </w:rPr>
        <w:t xml:space="preserve"> United States Coast Guard, </w:t>
      </w:r>
      <w:r w:rsidRPr="00C852F5">
        <w:rPr>
          <w:i/>
          <w:sz w:val="20"/>
          <w:szCs w:val="20"/>
        </w:rPr>
        <w:t>Diversity and Inclusion Strategic Plan 2015-2018</w:t>
      </w:r>
      <w:r w:rsidRPr="00C852F5">
        <w:rPr>
          <w:sz w:val="20"/>
          <w:szCs w:val="20"/>
        </w:rPr>
        <w:t xml:space="preserve">, (2015). </w:t>
      </w:r>
    </w:p>
  </w:footnote>
  <w:footnote w:id="104">
    <w:p w14:paraId="7973B297" w14:textId="59C8EAD7" w:rsidR="00C754C9" w:rsidRPr="00C754C9" w:rsidRDefault="00C754C9">
      <w:pPr>
        <w:pStyle w:val="FootnoteText"/>
        <w:rPr>
          <w:u w:val="single"/>
        </w:rPr>
      </w:pPr>
      <w:r>
        <w:rPr>
          <w:rStyle w:val="FootnoteReference"/>
        </w:rPr>
        <w:footnoteRef/>
      </w:r>
      <w:r>
        <w:t xml:space="preserve"> United States Coast Guard, </w:t>
      </w:r>
      <w:r w:rsidRPr="00C754C9">
        <w:rPr>
          <w:i/>
        </w:rPr>
        <w:t>COMDTINST M1754.10E,</w:t>
      </w:r>
      <w:r w:rsidRPr="00C754C9">
        <w:t xml:space="preserve"> </w:t>
      </w:r>
      <w:r w:rsidRPr="00C754C9">
        <w:rPr>
          <w:i/>
        </w:rPr>
        <w:t>supra</w:t>
      </w:r>
      <w:r>
        <w:rPr>
          <w:i/>
        </w:rPr>
        <w:t>.</w:t>
      </w:r>
    </w:p>
  </w:footnote>
  <w:footnote w:id="105">
    <w:p w14:paraId="777BF09E" w14:textId="5FA5F19F" w:rsidR="00C754C9" w:rsidRPr="00C754C9" w:rsidRDefault="00C754C9">
      <w:pPr>
        <w:pStyle w:val="FootnoteText"/>
      </w:pPr>
      <w:r>
        <w:rPr>
          <w:rStyle w:val="FootnoteReference"/>
        </w:rPr>
        <w:footnoteRef/>
      </w:r>
      <w:r>
        <w:t xml:space="preserve"> </w:t>
      </w:r>
      <w:r>
        <w:rPr>
          <w:i/>
        </w:rPr>
        <w:t>Id.</w:t>
      </w:r>
      <w:r>
        <w:t xml:space="preserve"> at 2-2</w:t>
      </w:r>
    </w:p>
  </w:footnote>
  <w:footnote w:id="106">
    <w:p w14:paraId="33F835FB" w14:textId="1CBA83E4" w:rsidR="00C754C9" w:rsidRPr="00C754C9" w:rsidRDefault="00C754C9">
      <w:pPr>
        <w:pStyle w:val="FootnoteText"/>
      </w:pPr>
      <w:r>
        <w:rPr>
          <w:rStyle w:val="FootnoteReference"/>
        </w:rPr>
        <w:footnoteRef/>
      </w:r>
      <w:r>
        <w:t xml:space="preserve"> </w:t>
      </w:r>
      <w:r>
        <w:rPr>
          <w:i/>
        </w:rPr>
        <w:t>Id.</w:t>
      </w:r>
    </w:p>
  </w:footnote>
  <w:footnote w:id="107">
    <w:p w14:paraId="091DB8D0" w14:textId="3919CFA9" w:rsidR="00C754C9" w:rsidRDefault="00C754C9">
      <w:pPr>
        <w:pStyle w:val="FootnoteText"/>
      </w:pPr>
      <w:r>
        <w:rPr>
          <w:rStyle w:val="FootnoteReference"/>
        </w:rPr>
        <w:footnoteRef/>
      </w:r>
      <w:r>
        <w:t xml:space="preserve"> </w:t>
      </w:r>
      <w:r>
        <w:rPr>
          <w:i/>
        </w:rPr>
        <w:t>Id.</w:t>
      </w:r>
    </w:p>
  </w:footnote>
  <w:footnote w:id="108">
    <w:p w14:paraId="05700A56" w14:textId="2E40543F" w:rsidR="00C754C9" w:rsidRDefault="00C754C9">
      <w:pPr>
        <w:pStyle w:val="FootnoteText"/>
      </w:pPr>
      <w:r>
        <w:rPr>
          <w:rStyle w:val="FootnoteReference"/>
        </w:rPr>
        <w:footnoteRef/>
      </w:r>
      <w:r>
        <w:t xml:space="preserve">  </w:t>
      </w:r>
      <w:r>
        <w:rPr>
          <w:i/>
        </w:rPr>
        <w:t>Id.</w:t>
      </w:r>
    </w:p>
  </w:footnote>
  <w:footnote w:id="109">
    <w:p w14:paraId="56038341" w14:textId="3B484582" w:rsidR="00C754C9" w:rsidRDefault="00C754C9">
      <w:pPr>
        <w:pStyle w:val="FootnoteText"/>
      </w:pPr>
      <w:r>
        <w:rPr>
          <w:rStyle w:val="FootnoteReference"/>
        </w:rPr>
        <w:footnoteRef/>
      </w:r>
      <w:r>
        <w:t xml:space="preserve"> </w:t>
      </w:r>
      <w:r>
        <w:rPr>
          <w:i/>
        </w:rPr>
        <w:t>Id.</w:t>
      </w:r>
      <w:r>
        <w:t xml:space="preserve"> at  4-1 to 4-8.</w:t>
      </w:r>
    </w:p>
  </w:footnote>
  <w:footnote w:id="110">
    <w:p w14:paraId="6803251E" w14:textId="5E9F508F" w:rsidR="00C754C9" w:rsidRDefault="00C754C9">
      <w:pPr>
        <w:pStyle w:val="FootnoteText"/>
      </w:pPr>
      <w:r>
        <w:rPr>
          <w:rStyle w:val="FootnoteReference"/>
        </w:rPr>
        <w:footnoteRef/>
      </w:r>
      <w:r>
        <w:t xml:space="preserve"> </w:t>
      </w:r>
      <w:r>
        <w:rPr>
          <w:i/>
        </w:rPr>
        <w:t>Id.</w:t>
      </w:r>
    </w:p>
  </w:footnote>
  <w:footnote w:id="111">
    <w:p w14:paraId="1CE605FC" w14:textId="76D606AC" w:rsidR="00C754C9" w:rsidRDefault="00C754C9">
      <w:pPr>
        <w:pStyle w:val="FootnoteText"/>
      </w:pPr>
      <w:r>
        <w:rPr>
          <w:rStyle w:val="FootnoteReference"/>
        </w:rPr>
        <w:footnoteRef/>
      </w:r>
      <w:r>
        <w:t xml:space="preserve"> </w:t>
      </w:r>
      <w:r>
        <w:rPr>
          <w:i/>
        </w:rPr>
        <w:t>Id.</w:t>
      </w:r>
    </w:p>
  </w:footnote>
  <w:footnote w:id="112">
    <w:p w14:paraId="46E23D06" w14:textId="0EEA6DBE" w:rsidR="00C754C9" w:rsidRDefault="00C754C9">
      <w:pPr>
        <w:pStyle w:val="FootnoteText"/>
      </w:pPr>
      <w:r>
        <w:rPr>
          <w:rStyle w:val="FootnoteReference"/>
        </w:rPr>
        <w:footnoteRef/>
      </w:r>
      <w:r>
        <w:t xml:space="preserve"> </w:t>
      </w:r>
      <w:r>
        <w:rPr>
          <w:i/>
        </w:rPr>
        <w:t>Id.</w:t>
      </w:r>
      <w:r>
        <w:t xml:space="preserve"> at 4-1.</w:t>
      </w:r>
    </w:p>
  </w:footnote>
  <w:footnote w:id="113">
    <w:p w14:paraId="65F90BF4" w14:textId="5280D1B6" w:rsidR="00C754C9" w:rsidRDefault="00C754C9">
      <w:pPr>
        <w:pStyle w:val="FootnoteText"/>
      </w:pPr>
      <w:r>
        <w:rPr>
          <w:rStyle w:val="FootnoteReference"/>
        </w:rPr>
        <w:footnoteRef/>
      </w:r>
      <w:r>
        <w:t xml:space="preserve">  </w:t>
      </w:r>
      <w:r>
        <w:rPr>
          <w:i/>
        </w:rPr>
        <w:t>Id.</w:t>
      </w:r>
    </w:p>
  </w:footnote>
  <w:footnote w:id="114">
    <w:p w14:paraId="450F9DA9" w14:textId="400BD585"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at 6-1 to 6-11.</w:t>
      </w:r>
    </w:p>
  </w:footnote>
  <w:footnote w:id="115">
    <w:p w14:paraId="1A616B5F" w14:textId="2681637D"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United States Coast Guard, </w:t>
      </w:r>
      <w:r w:rsidRPr="00C4479F">
        <w:rPr>
          <w:i/>
          <w:color w:val="000000" w:themeColor="text1"/>
        </w:rPr>
        <w:t xml:space="preserve">COMDTINST 5801.5, Special Victim’s Counsel Program </w:t>
      </w:r>
      <w:r w:rsidRPr="00C4479F">
        <w:rPr>
          <w:color w:val="000000" w:themeColor="text1"/>
        </w:rPr>
        <w:t xml:space="preserve">(2017). </w:t>
      </w:r>
      <w:hyperlink r:id="rId5" w:history="1">
        <w:r w:rsidRPr="00C4479F">
          <w:rPr>
            <w:rStyle w:val="Hyperlink"/>
            <w:color w:val="000000" w:themeColor="text1"/>
            <w:u w:val="none"/>
          </w:rPr>
          <w:t>https://media.defense.gov/2017/Mar/15/2001716718/-1/-1/0/CI_5801_5.PDF</w:t>
        </w:r>
      </w:hyperlink>
      <w:r w:rsidRPr="00C4479F">
        <w:rPr>
          <w:color w:val="000000" w:themeColor="text1"/>
        </w:rPr>
        <w:t xml:space="preserve">; </w:t>
      </w:r>
      <w:r w:rsidRPr="00C4479F">
        <w:rPr>
          <w:i/>
          <w:color w:val="000000" w:themeColor="text1"/>
        </w:rPr>
        <w:t>Id.</w:t>
      </w:r>
      <w:r w:rsidRPr="00C4479F">
        <w:rPr>
          <w:color w:val="000000" w:themeColor="text1"/>
        </w:rPr>
        <w:t xml:space="preserve"> at 1-4 to 1-5.</w:t>
      </w:r>
    </w:p>
  </w:footnote>
  <w:footnote w:id="116">
    <w:p w14:paraId="3CD46D4C" w14:textId="4D88FDB8"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United States Coast Guard, </w:t>
      </w:r>
      <w:r w:rsidRPr="00C4479F">
        <w:rPr>
          <w:i/>
          <w:color w:val="000000" w:themeColor="text1"/>
        </w:rPr>
        <w:t>COMDTINST 5801.5, supra.</w:t>
      </w:r>
    </w:p>
  </w:footnote>
  <w:footnote w:id="117">
    <w:p w14:paraId="62DF0986" w14:textId="1C7B6D09" w:rsidR="00C754C9" w:rsidRPr="00C754C9" w:rsidRDefault="00C754C9">
      <w:pPr>
        <w:pStyle w:val="FootnoteText"/>
      </w:pPr>
      <w:r w:rsidRPr="00C4479F">
        <w:rPr>
          <w:rStyle w:val="FootnoteReference"/>
          <w:color w:val="000000" w:themeColor="text1"/>
        </w:rPr>
        <w:footnoteRef/>
      </w:r>
      <w:r w:rsidRPr="00C4479F">
        <w:rPr>
          <w:color w:val="000000" w:themeColor="text1"/>
        </w:rPr>
        <w:t xml:space="preserve">  </w:t>
      </w:r>
      <w:r w:rsidRPr="00C4479F">
        <w:rPr>
          <w:i/>
          <w:color w:val="000000" w:themeColor="text1"/>
        </w:rPr>
        <w:t>Id.</w:t>
      </w:r>
      <w:r w:rsidRPr="00C4479F">
        <w:rPr>
          <w:color w:val="000000" w:themeColor="text1"/>
        </w:rPr>
        <w:t xml:space="preserve"> at 3-4</w:t>
      </w:r>
    </w:p>
  </w:footnote>
  <w:footnote w:id="118">
    <w:p w14:paraId="4AED5F94" w14:textId="7A7EBC30" w:rsidR="00C754C9" w:rsidRPr="00C4479F" w:rsidRDefault="00C754C9">
      <w:pPr>
        <w:pStyle w:val="FootnoteText"/>
        <w:rPr>
          <w:color w:val="000000" w:themeColor="text1"/>
        </w:rPr>
      </w:pPr>
      <w:r w:rsidRPr="00C4479F">
        <w:rPr>
          <w:rStyle w:val="FootnoteReference"/>
          <w:color w:val="000000" w:themeColor="text1"/>
        </w:rPr>
        <w:footnoteRef/>
      </w:r>
      <w:r w:rsidRPr="00C4479F">
        <w:rPr>
          <w:color w:val="000000" w:themeColor="text1"/>
        </w:rPr>
        <w:t xml:space="preserve"> United States Coast Guard, </w:t>
      </w:r>
      <w:r w:rsidRPr="00C4479F">
        <w:rPr>
          <w:i/>
          <w:color w:val="000000" w:themeColor="text1"/>
        </w:rPr>
        <w:t>Sexual Assaults: Expedited Transfer and Special Victims Counsel Program</w:t>
      </w:r>
      <w:r w:rsidRPr="00C4479F">
        <w:rPr>
          <w:color w:val="000000" w:themeColor="text1"/>
        </w:rPr>
        <w:t xml:space="preserve"> (July 27, 2017), </w:t>
      </w:r>
      <w:hyperlink r:id="rId6" w:history="1">
        <w:r w:rsidRPr="00C4479F">
          <w:rPr>
            <w:rStyle w:val="Hyperlink"/>
            <w:color w:val="000000" w:themeColor="text1"/>
            <w:u w:val="none"/>
          </w:rPr>
          <w:t>https://www.dhs.gov/sites/default/files/publications/USCG%20-%20Sexual%20Assaults%20-%20Expedited%20Transfer%20and%20Special%20Victims%20Counsel%20Program.pdf</w:t>
        </w:r>
      </w:hyperlink>
      <w:r w:rsidRPr="00C4479F">
        <w:rPr>
          <w:color w:val="000000" w:themeColor="text1"/>
        </w:rPr>
        <w:t xml:space="preserve">. </w:t>
      </w:r>
    </w:p>
  </w:footnote>
  <w:footnote w:id="119">
    <w:p w14:paraId="273A0A2A" w14:textId="6E32B2E1" w:rsidR="00C754C9" w:rsidRPr="00C754C9" w:rsidRDefault="00C754C9">
      <w:pPr>
        <w:pStyle w:val="FootnoteText"/>
        <w:rPr>
          <w:i/>
          <w:u w:val="single"/>
        </w:rPr>
      </w:pPr>
      <w:r w:rsidRPr="00C4479F">
        <w:rPr>
          <w:rStyle w:val="FootnoteReference"/>
          <w:color w:val="000000" w:themeColor="text1"/>
        </w:rPr>
        <w:footnoteRef/>
      </w:r>
      <w:r w:rsidRPr="00C4479F">
        <w:rPr>
          <w:color w:val="000000" w:themeColor="text1"/>
        </w:rPr>
        <w:t xml:space="preserve"> United States Coast Guard, </w:t>
      </w:r>
      <w:r w:rsidRPr="00C4479F">
        <w:rPr>
          <w:i/>
          <w:color w:val="000000" w:themeColor="text1"/>
        </w:rPr>
        <w:t>Sexual Assault Prevention and Response Strategic Plan 2013-2017</w:t>
      </w:r>
      <w:r w:rsidRPr="00C4479F">
        <w:rPr>
          <w:color w:val="000000" w:themeColor="text1"/>
        </w:rPr>
        <w:t xml:space="preserve"> (2013), </w:t>
      </w:r>
      <w:hyperlink r:id="rId7" w:history="1">
        <w:r w:rsidRPr="00C4479F">
          <w:rPr>
            <w:rStyle w:val="Hyperlink"/>
            <w:color w:val="000000" w:themeColor="text1"/>
            <w:u w:val="none"/>
          </w:rPr>
          <w:t>https://www.dcms.uscg.mil/Portals/10/CG-1/cg111/docs/SAPR/SAPR_strat_plan.pdf?ver=2017-04-10-162927-503</w:t>
        </w:r>
      </w:hyperlink>
      <w:r w:rsidR="004B709F" w:rsidRPr="00C4479F">
        <w:rPr>
          <w:color w:val="000000" w:themeColor="text1"/>
        </w:rPr>
        <w:t xml:space="preserve"> [hereinafter 17 Strategic Plan]; </w:t>
      </w:r>
      <w:r w:rsidRPr="00C4479F">
        <w:rPr>
          <w:color w:val="000000" w:themeColor="text1"/>
        </w:rPr>
        <w:t xml:space="preserve">United States Coast Guard, 22 Strategic Plan, </w:t>
      </w:r>
      <w:r w:rsidRPr="00C4479F">
        <w:rPr>
          <w:i/>
          <w:color w:val="000000" w:themeColor="text1"/>
        </w:rPr>
        <w:t>supra.</w:t>
      </w:r>
    </w:p>
  </w:footnote>
  <w:footnote w:id="120">
    <w:p w14:paraId="28109537" w14:textId="5E59DF61" w:rsidR="00C754C9" w:rsidRPr="00331778" w:rsidRDefault="00C754C9" w:rsidP="00331778">
      <w:pPr>
        <w:pStyle w:val="FootnoteText"/>
        <w:rPr>
          <w:u w:val="single"/>
        </w:rPr>
      </w:pPr>
      <w:r>
        <w:rPr>
          <w:rStyle w:val="FootnoteReference"/>
        </w:rPr>
        <w:footnoteRef/>
      </w:r>
      <w:r>
        <w:t xml:space="preserve"> </w:t>
      </w:r>
      <w:r w:rsidRPr="008A5504">
        <w:t xml:space="preserve">United States Coast Guard, </w:t>
      </w:r>
      <w:r w:rsidRPr="008A5504">
        <w:rPr>
          <w:i/>
        </w:rPr>
        <w:t xml:space="preserve">COMDTINST 1752.1, </w:t>
      </w:r>
      <w:r w:rsidR="00331778">
        <w:rPr>
          <w:i/>
        </w:rPr>
        <w:t>supra.</w:t>
      </w:r>
    </w:p>
  </w:footnote>
  <w:footnote w:id="121">
    <w:p w14:paraId="415C62B0" w14:textId="4A03B248" w:rsidR="00C754C9" w:rsidRPr="00331778" w:rsidRDefault="00C754C9" w:rsidP="00331778">
      <w:pPr>
        <w:pStyle w:val="FootnoteText"/>
      </w:pPr>
      <w:r>
        <w:rPr>
          <w:rStyle w:val="FootnoteReference"/>
        </w:rPr>
        <w:footnoteRef/>
      </w:r>
      <w:r>
        <w:t xml:space="preserve"> </w:t>
      </w:r>
      <w:r w:rsidR="00331778">
        <w:rPr>
          <w:i/>
        </w:rPr>
        <w:t>Id.</w:t>
      </w:r>
      <w:r w:rsidR="00331778">
        <w:t xml:space="preserve"> at encl. 2</w:t>
      </w:r>
    </w:p>
  </w:footnote>
  <w:footnote w:id="122">
    <w:p w14:paraId="1B6D1F57" w14:textId="3FB85446" w:rsidR="00C754C9" w:rsidRPr="003B42F9" w:rsidRDefault="00C754C9" w:rsidP="00331778">
      <w:pPr>
        <w:rPr>
          <w:rFonts w:ascii="Arial" w:hAnsi="Arial" w:cs="Arial"/>
          <w:color w:val="000000"/>
          <w:sz w:val="20"/>
          <w:szCs w:val="20"/>
        </w:rPr>
      </w:pPr>
      <w:r w:rsidRPr="00C17938">
        <w:rPr>
          <w:rStyle w:val="FootnoteReference"/>
          <w:sz w:val="20"/>
          <w:szCs w:val="20"/>
        </w:rPr>
        <w:footnoteRef/>
      </w:r>
      <w:r w:rsidRPr="00C17938">
        <w:rPr>
          <w:sz w:val="20"/>
          <w:szCs w:val="20"/>
        </w:rPr>
        <w:t xml:space="preserve"> </w:t>
      </w:r>
      <w:r w:rsidR="00331778" w:rsidRPr="00331778">
        <w:rPr>
          <w:i/>
          <w:color w:val="000000"/>
          <w:sz w:val="20"/>
          <w:szCs w:val="20"/>
        </w:rPr>
        <w:t>Id.</w:t>
      </w:r>
    </w:p>
  </w:footnote>
  <w:footnote w:id="123">
    <w:p w14:paraId="6CE104E9" w14:textId="2D2DB9BB" w:rsidR="00C754C9" w:rsidRDefault="00C754C9" w:rsidP="00331778">
      <w:pPr>
        <w:pStyle w:val="FootnoteText"/>
      </w:pPr>
      <w:r>
        <w:rPr>
          <w:rStyle w:val="FootnoteReference"/>
        </w:rPr>
        <w:footnoteRef/>
      </w:r>
      <w:r>
        <w:t xml:space="preserve"> </w:t>
      </w:r>
      <w:r w:rsidR="00331778" w:rsidRPr="00331778">
        <w:rPr>
          <w:i/>
          <w:color w:val="000000"/>
        </w:rPr>
        <w:t>Id.</w:t>
      </w:r>
    </w:p>
  </w:footnote>
  <w:footnote w:id="124">
    <w:p w14:paraId="08036A99" w14:textId="4E3AFA79" w:rsidR="00C754C9" w:rsidRPr="00331778" w:rsidRDefault="00C754C9" w:rsidP="00331778">
      <w:pPr>
        <w:pStyle w:val="FootnoteText"/>
      </w:pPr>
      <w:r w:rsidRPr="00331778">
        <w:rPr>
          <w:rStyle w:val="FootnoteReference"/>
        </w:rPr>
        <w:footnoteRef/>
      </w:r>
      <w:r w:rsidRPr="00331778">
        <w:t xml:space="preserve"> </w:t>
      </w:r>
      <w:r w:rsidR="00331778" w:rsidRPr="00331778">
        <w:rPr>
          <w:i/>
          <w:color w:val="000000"/>
        </w:rPr>
        <w:t>Id.</w:t>
      </w:r>
    </w:p>
  </w:footnote>
  <w:footnote w:id="125">
    <w:p w14:paraId="445807CD" w14:textId="0434654F" w:rsidR="00C754C9" w:rsidRPr="00331778" w:rsidRDefault="00C754C9" w:rsidP="00331778">
      <w:pPr>
        <w:pStyle w:val="FootnoteText"/>
        <w:rPr>
          <w:i/>
        </w:rPr>
      </w:pPr>
      <w:r w:rsidRPr="00331778">
        <w:rPr>
          <w:rStyle w:val="FootnoteReference"/>
        </w:rPr>
        <w:footnoteRef/>
      </w:r>
      <w:r w:rsidRPr="00331778">
        <w:t xml:space="preserve"> </w:t>
      </w:r>
      <w:r w:rsidRPr="00331778">
        <w:rPr>
          <w:i/>
        </w:rPr>
        <w:t>Id</w:t>
      </w:r>
      <w:r w:rsidRPr="00331778">
        <w:t xml:space="preserve">. </w:t>
      </w:r>
      <w:r w:rsidR="00331778" w:rsidRPr="00331778">
        <w:t>This includes</w:t>
      </w:r>
      <w:r w:rsidRPr="00331778">
        <w:rPr>
          <w:rFonts w:cstheme="minorHAnsi"/>
        </w:rPr>
        <w:t xml:space="preserve"> non-offending parent of the child in a maltreatment incident</w:t>
      </w:r>
      <w:r w:rsidR="00331778">
        <w:rPr>
          <w:rFonts w:cstheme="minorHAnsi"/>
        </w:rPr>
        <w:t>.</w:t>
      </w:r>
    </w:p>
  </w:footnote>
  <w:footnote w:id="126">
    <w:p w14:paraId="33DF4415" w14:textId="21FE865C" w:rsidR="00C754C9" w:rsidRPr="00331778" w:rsidRDefault="00C754C9" w:rsidP="00331778">
      <w:pPr>
        <w:pStyle w:val="FootnoteText"/>
      </w:pPr>
      <w:r w:rsidRPr="00331778">
        <w:rPr>
          <w:rStyle w:val="FootnoteReference"/>
        </w:rPr>
        <w:footnoteRef/>
      </w:r>
      <w:r w:rsidRPr="00331778">
        <w:t xml:space="preserve"> </w:t>
      </w:r>
      <w:r w:rsidR="00331778">
        <w:t xml:space="preserve">United States Coast Guard, </w:t>
      </w:r>
      <w:r w:rsidR="00331778">
        <w:rPr>
          <w:i/>
        </w:rPr>
        <w:t>COMDTINST M1754.10E</w:t>
      </w:r>
      <w:r w:rsidR="00331778">
        <w:t xml:space="preserve">, </w:t>
      </w:r>
      <w:r w:rsidR="00331778">
        <w:rPr>
          <w:i/>
        </w:rPr>
        <w:t>supra</w:t>
      </w:r>
      <w:r w:rsidR="00331778">
        <w:t>, at 1-14.</w:t>
      </w:r>
    </w:p>
  </w:footnote>
  <w:footnote w:id="127">
    <w:p w14:paraId="1743B4F8" w14:textId="1D56427A" w:rsidR="00C754C9" w:rsidRPr="00331778" w:rsidRDefault="00C754C9" w:rsidP="00331778">
      <w:pPr>
        <w:pStyle w:val="FootnoteText"/>
      </w:pPr>
      <w:r w:rsidRPr="00331778">
        <w:rPr>
          <w:rStyle w:val="FootnoteReference"/>
        </w:rPr>
        <w:footnoteRef/>
      </w:r>
      <w:r w:rsidRPr="00331778">
        <w:t xml:space="preserve"> </w:t>
      </w:r>
      <w:r w:rsidR="00331778">
        <w:t>Refer to fn. 95.</w:t>
      </w:r>
    </w:p>
  </w:footnote>
  <w:footnote w:id="128">
    <w:p w14:paraId="65AC35CD" w14:textId="6920156F" w:rsidR="00C754C9" w:rsidRPr="00331778" w:rsidRDefault="00C754C9" w:rsidP="00331778">
      <w:pPr>
        <w:pStyle w:val="FootnoteText"/>
      </w:pPr>
      <w:r w:rsidRPr="00331778">
        <w:rPr>
          <w:rStyle w:val="FootnoteReference"/>
        </w:rPr>
        <w:footnoteRef/>
      </w:r>
      <w:r w:rsidRPr="00331778">
        <w:t xml:space="preserve"> </w:t>
      </w:r>
      <w:r w:rsidR="00331778">
        <w:t xml:space="preserve">United States Coast Guard, </w:t>
      </w:r>
      <w:r w:rsidR="00331778">
        <w:rPr>
          <w:i/>
        </w:rPr>
        <w:t>COMDTINST M1754.10E</w:t>
      </w:r>
      <w:r w:rsidR="00331778">
        <w:t xml:space="preserve">, </w:t>
      </w:r>
      <w:r w:rsidR="00331778">
        <w:rPr>
          <w:i/>
        </w:rPr>
        <w:t>supra</w:t>
      </w:r>
      <w:r w:rsidR="00331778">
        <w:t>, at 1-</w:t>
      </w:r>
      <w:r w:rsidR="004B709F">
        <w:t>13 to 1-15</w:t>
      </w:r>
      <w:r w:rsidR="00331778">
        <w:t>.</w:t>
      </w:r>
    </w:p>
  </w:footnote>
  <w:footnote w:id="129">
    <w:p w14:paraId="56087955" w14:textId="29370227" w:rsidR="004B709F" w:rsidRPr="004B709F" w:rsidRDefault="00C754C9" w:rsidP="004B709F">
      <w:pPr>
        <w:pStyle w:val="FootnoteText"/>
        <w:rPr>
          <w:color w:val="FF0000"/>
        </w:rPr>
      </w:pPr>
      <w:r w:rsidRPr="00331778">
        <w:rPr>
          <w:rStyle w:val="FootnoteReference"/>
        </w:rPr>
        <w:footnoteRef/>
      </w:r>
      <w:r w:rsidRPr="00331778">
        <w:t xml:space="preserve"> </w:t>
      </w:r>
      <w:r w:rsidR="004B709F" w:rsidRPr="004B709F">
        <w:rPr>
          <w:color w:val="000000" w:themeColor="text1"/>
        </w:rPr>
        <w:t xml:space="preserve">United State Coast Guard, </w:t>
      </w:r>
      <w:r w:rsidR="004B709F" w:rsidRPr="004B709F">
        <w:rPr>
          <w:i/>
          <w:color w:val="000000" w:themeColor="text1"/>
        </w:rPr>
        <w:t>Work Life Staff Roster</w:t>
      </w:r>
      <w:r w:rsidR="004B709F" w:rsidRPr="004B709F">
        <w:rPr>
          <w:color w:val="000000" w:themeColor="text1"/>
        </w:rPr>
        <w:t xml:space="preserve"> (last visited Sep. 16, 2016) </w:t>
      </w:r>
      <w:hyperlink r:id="rId8" w:history="1">
        <w:r w:rsidR="004B709F" w:rsidRPr="004B709F">
          <w:rPr>
            <w:rStyle w:val="Hyperlink"/>
            <w:color w:val="000000" w:themeColor="text1"/>
          </w:rPr>
          <w:t>https://www.uscg.mil/worklife/docs/pdf/HSWL_WL_roster.pdf</w:t>
        </w:r>
      </w:hyperlink>
      <w:r w:rsidR="004B709F" w:rsidRPr="004B709F">
        <w:rPr>
          <w:color w:val="000000" w:themeColor="text1"/>
        </w:rPr>
        <w:t>.</w:t>
      </w:r>
    </w:p>
    <w:p w14:paraId="60951750" w14:textId="13A47496" w:rsidR="00C754C9" w:rsidRPr="004B709F" w:rsidRDefault="00C754C9" w:rsidP="00331778">
      <w:pPr>
        <w:pStyle w:val="FootnoteText"/>
      </w:pPr>
    </w:p>
  </w:footnote>
  <w:footnote w:id="130">
    <w:p w14:paraId="06337F9B" w14:textId="20882EE2" w:rsidR="00C754C9" w:rsidRPr="004B709F" w:rsidRDefault="00C754C9">
      <w:pPr>
        <w:pStyle w:val="FootnoteText"/>
      </w:pPr>
      <w:r>
        <w:rPr>
          <w:rStyle w:val="FootnoteReference"/>
        </w:rPr>
        <w:footnoteRef/>
      </w:r>
      <w:r>
        <w:t xml:space="preserve"> </w:t>
      </w:r>
      <w:r w:rsidR="004B709F">
        <w:rPr>
          <w:i/>
        </w:rPr>
        <w:t>Id.</w:t>
      </w:r>
      <w:r w:rsidR="004B709F">
        <w:t xml:space="preserve"> </w:t>
      </w:r>
    </w:p>
  </w:footnote>
  <w:footnote w:id="131">
    <w:p w14:paraId="76A29A46" w14:textId="0485EC88" w:rsidR="00C754C9" w:rsidRDefault="00C754C9">
      <w:pPr>
        <w:pStyle w:val="FootnoteText"/>
      </w:pPr>
      <w:r>
        <w:rPr>
          <w:rStyle w:val="FootnoteReference"/>
        </w:rPr>
        <w:footnoteRef/>
      </w:r>
      <w:r>
        <w:t xml:space="preserve"> </w:t>
      </w:r>
      <w:r w:rsidR="004B709F">
        <w:t xml:space="preserve">United States Coast Guard, </w:t>
      </w:r>
      <w:r w:rsidR="004B709F">
        <w:rPr>
          <w:i/>
        </w:rPr>
        <w:t>COMDTINST</w:t>
      </w:r>
      <w:r>
        <w:t xml:space="preserve"> </w:t>
      </w:r>
      <w:r w:rsidR="004B709F">
        <w:t>1752.1</w:t>
      </w:r>
      <w:r w:rsidR="004B709F" w:rsidRPr="004B709F">
        <w:rPr>
          <w:i/>
        </w:rPr>
        <w:t xml:space="preserve">, </w:t>
      </w:r>
      <w:r w:rsidR="004B709F">
        <w:t>supra</w:t>
      </w:r>
      <w:r w:rsidR="004B709F" w:rsidRPr="004B709F">
        <w:rPr>
          <w:i/>
        </w:rPr>
        <w:t>, at</w:t>
      </w:r>
      <w:r w:rsidR="004B709F">
        <w:rPr>
          <w:i/>
        </w:rPr>
        <w:t xml:space="preserve"> </w:t>
      </w:r>
      <w:r>
        <w:t>8-10</w:t>
      </w:r>
      <w:r w:rsidR="004B709F">
        <w:t>.</w:t>
      </w:r>
    </w:p>
  </w:footnote>
  <w:footnote w:id="132">
    <w:p w14:paraId="20B16DC9" w14:textId="6D9102DC" w:rsidR="00C754C9" w:rsidRDefault="00C754C9">
      <w:pPr>
        <w:pStyle w:val="FootnoteText"/>
      </w:pPr>
      <w:r>
        <w:rPr>
          <w:rStyle w:val="FootnoteReference"/>
        </w:rPr>
        <w:footnoteRef/>
      </w:r>
      <w:r>
        <w:t xml:space="preserve"> Refer to </w:t>
      </w:r>
      <w:r w:rsidR="004B709F">
        <w:t>fn. 95.</w:t>
      </w:r>
    </w:p>
  </w:footnote>
  <w:footnote w:id="133">
    <w:p w14:paraId="61E31B3F" w14:textId="19338089" w:rsidR="00C754C9" w:rsidRPr="004B709F" w:rsidRDefault="00C754C9">
      <w:pPr>
        <w:pStyle w:val="FootnoteText"/>
      </w:pPr>
      <w:r>
        <w:rPr>
          <w:rStyle w:val="FootnoteReference"/>
        </w:rPr>
        <w:footnoteRef/>
      </w:r>
      <w:r>
        <w:t xml:space="preserve">  </w:t>
      </w:r>
      <w:r w:rsidR="004B709F">
        <w:t xml:space="preserve">United States Coast Guard, </w:t>
      </w:r>
      <w:r w:rsidR="004B709F">
        <w:rPr>
          <w:i/>
        </w:rPr>
        <w:t>COMDTINST 5801.5</w:t>
      </w:r>
      <w:r w:rsidR="004B709F">
        <w:t xml:space="preserve">, </w:t>
      </w:r>
      <w:r w:rsidR="004B709F">
        <w:rPr>
          <w:i/>
        </w:rPr>
        <w:t>Special Victims’ Counsel Program</w:t>
      </w:r>
      <w:r w:rsidR="004B709F">
        <w:t xml:space="preserve"> (Feb. 09, 2017), </w:t>
      </w:r>
      <w:r w:rsidR="004B709F" w:rsidRPr="004B709F">
        <w:t>https://media.defense.gov/2017/Mar/15/2001716718/-1/-1/0/CI_5801_5.PDF</w:t>
      </w:r>
      <w:r w:rsidR="004B709F">
        <w:t>.</w:t>
      </w:r>
    </w:p>
  </w:footnote>
  <w:footnote w:id="134">
    <w:p w14:paraId="6365D1E1" w14:textId="18C0383F" w:rsidR="00C754C9" w:rsidRDefault="00C754C9" w:rsidP="00142ABA">
      <w:pPr>
        <w:pStyle w:val="FootnoteText"/>
      </w:pPr>
      <w:r>
        <w:rPr>
          <w:rStyle w:val="FootnoteReference"/>
        </w:rPr>
        <w:footnoteRef/>
      </w:r>
      <w:r>
        <w:t xml:space="preserve">  </w:t>
      </w:r>
      <w:r w:rsidR="004B709F">
        <w:t xml:space="preserve">United States Coast Guard, </w:t>
      </w:r>
      <w:r w:rsidR="004B709F">
        <w:rPr>
          <w:i/>
        </w:rPr>
        <w:t>COMDTINST</w:t>
      </w:r>
      <w:r w:rsidR="004B709F">
        <w:t xml:space="preserve"> 1752.1</w:t>
      </w:r>
      <w:r w:rsidR="004B709F" w:rsidRPr="004B709F">
        <w:rPr>
          <w:i/>
        </w:rPr>
        <w:t xml:space="preserve">, </w:t>
      </w:r>
      <w:r w:rsidR="004B709F">
        <w:t>supra</w:t>
      </w:r>
      <w:r w:rsidR="004B709F" w:rsidRPr="004B709F">
        <w:rPr>
          <w:i/>
        </w:rPr>
        <w:t>, at</w:t>
      </w:r>
      <w:r w:rsidR="004B709F">
        <w:rPr>
          <w:i/>
        </w:rPr>
        <w:t xml:space="preserve"> </w:t>
      </w:r>
      <w:r w:rsidR="004B709F">
        <w:t>2.</w:t>
      </w:r>
    </w:p>
  </w:footnote>
  <w:footnote w:id="135">
    <w:p w14:paraId="5431A16B" w14:textId="2C5CE343" w:rsidR="00C754C9" w:rsidRPr="004B709F" w:rsidRDefault="00C754C9" w:rsidP="00142ABA">
      <w:pPr>
        <w:pStyle w:val="FootnoteText"/>
      </w:pPr>
      <w:r>
        <w:rPr>
          <w:rStyle w:val="FootnoteReference"/>
        </w:rPr>
        <w:footnoteRef/>
      </w:r>
      <w:r>
        <w:t xml:space="preserve"> </w:t>
      </w:r>
      <w:r w:rsidR="004B709F">
        <w:rPr>
          <w:i/>
        </w:rPr>
        <w:t>Id.</w:t>
      </w:r>
      <w:r w:rsidR="004B709F">
        <w:t xml:space="preserve"> </w:t>
      </w:r>
    </w:p>
  </w:footnote>
  <w:footnote w:id="136">
    <w:p w14:paraId="7034EC76" w14:textId="4D32259B" w:rsidR="00C754C9" w:rsidRPr="004B709F" w:rsidRDefault="00C754C9">
      <w:pPr>
        <w:pStyle w:val="FootnoteText"/>
      </w:pPr>
      <w:r>
        <w:rPr>
          <w:rStyle w:val="FootnoteReference"/>
        </w:rPr>
        <w:footnoteRef/>
      </w:r>
      <w:r>
        <w:t xml:space="preserve"> </w:t>
      </w:r>
      <w:r w:rsidR="004B709F">
        <w:rPr>
          <w:i/>
        </w:rPr>
        <w:t>Id.</w:t>
      </w:r>
      <w:r w:rsidR="004B709F">
        <w:t xml:space="preserve"> at 2.</w:t>
      </w:r>
    </w:p>
  </w:footnote>
  <w:footnote w:id="137">
    <w:p w14:paraId="2080669C" w14:textId="463F715C" w:rsidR="00C754C9" w:rsidRPr="004B709F" w:rsidRDefault="00C754C9">
      <w:pPr>
        <w:pStyle w:val="FootnoteText"/>
      </w:pPr>
      <w:r>
        <w:rPr>
          <w:rStyle w:val="FootnoteReference"/>
        </w:rPr>
        <w:footnoteRef/>
      </w:r>
      <w:r>
        <w:t xml:space="preserve"> </w:t>
      </w:r>
      <w:r w:rsidR="004B709F">
        <w:t xml:space="preserve">United States Coast Guard, </w:t>
      </w:r>
      <w:r w:rsidR="004B709F" w:rsidRPr="004B709F">
        <w:rPr>
          <w:i/>
        </w:rPr>
        <w:t>17 Strategic Plan,</w:t>
      </w:r>
      <w:r w:rsidR="004B709F">
        <w:t xml:space="preserve"> </w:t>
      </w:r>
      <w:r w:rsidR="004B709F">
        <w:rPr>
          <w:i/>
        </w:rPr>
        <w:t>supra</w:t>
      </w:r>
      <w:r w:rsidR="004B709F">
        <w:t>, at 3.</w:t>
      </w:r>
    </w:p>
  </w:footnote>
  <w:footnote w:id="138">
    <w:p w14:paraId="2EBE6F73" w14:textId="0AE055EA" w:rsidR="00C754C9" w:rsidRPr="004B709F" w:rsidRDefault="00C754C9">
      <w:pPr>
        <w:pStyle w:val="FootnoteText"/>
      </w:pPr>
      <w:r>
        <w:rPr>
          <w:rStyle w:val="FootnoteReference"/>
        </w:rPr>
        <w:footnoteRef/>
      </w:r>
      <w:r>
        <w:t xml:space="preserve"> </w:t>
      </w:r>
      <w:r w:rsidR="004B709F">
        <w:rPr>
          <w:i/>
        </w:rPr>
        <w:t>Id.</w:t>
      </w:r>
    </w:p>
  </w:footnote>
  <w:footnote w:id="139">
    <w:p w14:paraId="749A4E5F" w14:textId="200503D7" w:rsidR="00C754C9" w:rsidRDefault="00C754C9">
      <w:pPr>
        <w:pStyle w:val="FootnoteText"/>
      </w:pPr>
      <w:r>
        <w:rPr>
          <w:rStyle w:val="FootnoteReference"/>
        </w:rPr>
        <w:footnoteRef/>
      </w:r>
      <w:r>
        <w:t xml:space="preserve"> </w:t>
      </w:r>
      <w:r w:rsidR="004B709F">
        <w:t xml:space="preserve">United States Coast Guard, </w:t>
      </w:r>
      <w:r w:rsidR="004B709F" w:rsidRPr="004B709F">
        <w:rPr>
          <w:i/>
        </w:rPr>
        <w:t>Work Life Staff Roaster</w:t>
      </w:r>
      <w:r w:rsidR="004B709F">
        <w:t>, s</w:t>
      </w:r>
      <w:r w:rsidR="004B709F" w:rsidRPr="004B709F">
        <w:rPr>
          <w:i/>
        </w:rPr>
        <w:t>upra</w:t>
      </w:r>
      <w:r w:rsidR="004B709F">
        <w:t>.</w:t>
      </w:r>
    </w:p>
  </w:footnote>
  <w:footnote w:id="140">
    <w:p w14:paraId="21F819E2" w14:textId="2341AA02" w:rsidR="00C754C9" w:rsidRPr="00ED3598" w:rsidRDefault="00C754C9" w:rsidP="00C4479F">
      <w:pPr>
        <w:pStyle w:val="FootnoteText"/>
      </w:pPr>
      <w:r>
        <w:rPr>
          <w:rStyle w:val="FootnoteReference"/>
        </w:rPr>
        <w:footnoteRef/>
      </w:r>
      <w:r>
        <w:t xml:space="preserve"> </w:t>
      </w:r>
      <w:r w:rsidR="00ED3598">
        <w:t xml:space="preserve">Mattiko, et. al., </w:t>
      </w:r>
      <w:r w:rsidR="00ED3598">
        <w:rPr>
          <w:i/>
        </w:rPr>
        <w:t>supra</w:t>
      </w:r>
      <w:r w:rsidR="00ED3598">
        <w:t xml:space="preserve"> at 165-69.</w:t>
      </w:r>
    </w:p>
  </w:footnote>
  <w:footnote w:id="141">
    <w:p w14:paraId="7CDB0E9C" w14:textId="6660EB2C" w:rsidR="00C754C9" w:rsidRPr="00ED3598" w:rsidRDefault="00C754C9" w:rsidP="00C4479F">
      <w:pPr>
        <w:pStyle w:val="FootnoteText"/>
        <w:rPr>
          <w:color w:val="000000" w:themeColor="text1"/>
        </w:rPr>
      </w:pPr>
      <w:r>
        <w:rPr>
          <w:rStyle w:val="FootnoteReference"/>
        </w:rPr>
        <w:footnoteRef/>
      </w:r>
      <w:r>
        <w:t xml:space="preserve">  </w:t>
      </w:r>
      <w:r w:rsidR="00ED3598" w:rsidRPr="00492244">
        <w:rPr>
          <w:rFonts w:cs="Arial"/>
          <w:iCs/>
        </w:rPr>
        <w:t xml:space="preserve">Centers for Disease Control and Prevention, National Centers for Injury Prevention and Control, </w:t>
      </w:r>
      <w:r w:rsidR="00ED3598" w:rsidRPr="00492244">
        <w:rPr>
          <w:rFonts w:cs="Arial"/>
          <w:i/>
          <w:iCs/>
        </w:rPr>
        <w:t xml:space="preserve">Costs of </w:t>
      </w:r>
      <w:r w:rsidR="00ED3598" w:rsidRPr="00ED3598">
        <w:rPr>
          <w:rFonts w:cs="Arial"/>
          <w:i/>
          <w:iCs/>
          <w:color w:val="000000" w:themeColor="text1"/>
        </w:rPr>
        <w:t>Intimate Partner Violence Against Women in the United States ,supra.</w:t>
      </w:r>
    </w:p>
  </w:footnote>
  <w:footnote w:id="142">
    <w:p w14:paraId="346434F9" w14:textId="6DA3FCF1" w:rsidR="00C754C9" w:rsidRPr="00ED3598" w:rsidRDefault="00C754C9" w:rsidP="00C4479F">
      <w:pPr>
        <w:pStyle w:val="FootnoteText"/>
        <w:rPr>
          <w:color w:val="000000" w:themeColor="text1"/>
        </w:rPr>
      </w:pPr>
      <w:r w:rsidRPr="00ED3598">
        <w:rPr>
          <w:rStyle w:val="FootnoteReference"/>
          <w:color w:val="000000" w:themeColor="text1"/>
        </w:rPr>
        <w:footnoteRef/>
      </w:r>
      <w:r w:rsidRPr="00ED3598">
        <w:rPr>
          <w:color w:val="000000" w:themeColor="text1"/>
        </w:rPr>
        <w:t xml:space="preserve"> </w:t>
      </w:r>
      <w:r w:rsidR="00ED3598" w:rsidRPr="00ED3598">
        <w:rPr>
          <w:color w:val="000000" w:themeColor="text1"/>
        </w:rPr>
        <w:t xml:space="preserve">Mattiko, et. al., </w:t>
      </w:r>
      <w:r w:rsidR="00ED3598" w:rsidRPr="00ED3598">
        <w:rPr>
          <w:i/>
          <w:color w:val="000000" w:themeColor="text1"/>
        </w:rPr>
        <w:t>supra</w:t>
      </w:r>
      <w:r w:rsidR="00ED3598" w:rsidRPr="00ED3598">
        <w:rPr>
          <w:color w:val="000000" w:themeColor="text1"/>
        </w:rPr>
        <w:t xml:space="preserve"> at 166-67.</w:t>
      </w:r>
    </w:p>
  </w:footnote>
  <w:footnote w:id="143">
    <w:p w14:paraId="2184CC97" w14:textId="0AB2760C" w:rsidR="00C754C9" w:rsidRPr="00ED3598" w:rsidRDefault="00C754C9" w:rsidP="00C4479F">
      <w:pPr>
        <w:pStyle w:val="FootnoteText"/>
        <w:rPr>
          <w:color w:val="000000" w:themeColor="text1"/>
        </w:rPr>
      </w:pPr>
      <w:r w:rsidRPr="00ED3598">
        <w:rPr>
          <w:rStyle w:val="FootnoteReference"/>
          <w:color w:val="000000" w:themeColor="text1"/>
        </w:rPr>
        <w:footnoteRef/>
      </w:r>
      <w:r w:rsidR="00ED3598" w:rsidRPr="00ED3598">
        <w:rPr>
          <w:color w:val="000000" w:themeColor="text1"/>
        </w:rPr>
        <w:t xml:space="preserve"> United States Coast Guard, Coast Guard Victim Advocate (last visited Dec. 3, 2018),</w:t>
      </w:r>
      <w:r w:rsidRPr="00ED3598">
        <w:rPr>
          <w:color w:val="000000" w:themeColor="text1"/>
        </w:rPr>
        <w:t xml:space="preserve"> </w:t>
      </w:r>
      <w:r w:rsidRPr="00ED3598">
        <w:rPr>
          <w:rStyle w:val="Hyperlink"/>
          <w:color w:val="000000" w:themeColor="text1"/>
          <w:u w:val="none"/>
        </w:rPr>
        <w:t>https://www.dcms.uscg.mil/Portals/10/CG-1/cg111/docs/SAPR/SAPR_Directions_for_VA_Credentialing.pdf?ver=2017-04-06-144230-230</w:t>
      </w:r>
    </w:p>
  </w:footnote>
  <w:footnote w:id="144">
    <w:p w14:paraId="7EA993D8" w14:textId="0B77A6D9" w:rsidR="00C754C9" w:rsidRDefault="00C754C9" w:rsidP="00C4479F">
      <w:pPr>
        <w:pStyle w:val="FootnoteText"/>
      </w:pPr>
      <w:r w:rsidRPr="00ED3598">
        <w:rPr>
          <w:rStyle w:val="FootnoteReference"/>
          <w:color w:val="000000" w:themeColor="text1"/>
        </w:rPr>
        <w:footnoteRef/>
      </w:r>
      <w:r w:rsidRPr="00ED3598">
        <w:rPr>
          <w:color w:val="000000" w:themeColor="text1"/>
        </w:rPr>
        <w:t xml:space="preserve"> </w:t>
      </w:r>
      <w:r w:rsidR="00ED3598" w:rsidRPr="00ED3598">
        <w:rPr>
          <w:color w:val="000000" w:themeColor="text1"/>
        </w:rPr>
        <w:t xml:space="preserve">National Organization for Victim Assistance, </w:t>
      </w:r>
      <w:r w:rsidR="00ED3598" w:rsidRPr="00ED3598">
        <w:rPr>
          <w:i/>
          <w:color w:val="000000" w:themeColor="text1"/>
        </w:rPr>
        <w:t>Credentialing</w:t>
      </w:r>
      <w:r w:rsidR="00ED3598" w:rsidRPr="00ED3598">
        <w:rPr>
          <w:color w:val="000000" w:themeColor="text1"/>
        </w:rPr>
        <w:t xml:space="preserve"> (last visited Dec. 3, 2018), </w:t>
      </w:r>
      <w:r w:rsidRPr="00ED3598">
        <w:rPr>
          <w:color w:val="000000" w:themeColor="text1"/>
        </w:rPr>
        <w:t>https://www.trynova.org/credentialing/nacp-civilian/</w:t>
      </w:r>
      <w:r w:rsidR="00ED3598" w:rsidRPr="00ED3598">
        <w:rPr>
          <w:color w:val="000000" w:themeColor="text1"/>
        </w:rPr>
        <w:t>.</w:t>
      </w:r>
    </w:p>
  </w:footnote>
  <w:footnote w:id="145">
    <w:p w14:paraId="03941F7B" w14:textId="225DA2E0" w:rsidR="00C754C9" w:rsidRDefault="00C754C9">
      <w:pPr>
        <w:pStyle w:val="FootnoteText"/>
      </w:pPr>
      <w:r>
        <w:rPr>
          <w:rStyle w:val="FootnoteReference"/>
        </w:rPr>
        <w:footnoteRef/>
      </w:r>
      <w:r>
        <w:t xml:space="preserve"> </w:t>
      </w:r>
      <w:r w:rsidR="00ED3598">
        <w:t xml:space="preserve">Campbell, et. al., </w:t>
      </w:r>
      <w:r w:rsidR="00ED3598">
        <w:rPr>
          <w:i/>
        </w:rPr>
        <w:t xml:space="preserve">Risk Factors for Femicide in Abusive </w:t>
      </w:r>
      <w:r w:rsidR="00ED3598">
        <w:rPr>
          <w:i/>
        </w:rPr>
        <w:t xml:space="preserve">Relatinoships: Results From a Multistate Case Control </w:t>
      </w:r>
      <w:r w:rsidR="00ED3598" w:rsidRPr="00ED3598">
        <w:t>Study</w:t>
      </w:r>
      <w:r w:rsidR="00ED3598">
        <w:t xml:space="preserve"> (2003), </w:t>
      </w:r>
      <w:r w:rsidR="00ED3598" w:rsidRPr="00ED3598">
        <w:t>https://www.ncbi.nlm.nih.gov/pmc/articles/PMC1447915/</w:t>
      </w:r>
      <w:r w:rsidR="00ED3598">
        <w:t>.</w:t>
      </w:r>
    </w:p>
  </w:footnote>
  <w:footnote w:id="146">
    <w:p w14:paraId="1E93FB2C" w14:textId="27E795EC" w:rsidR="00C754C9" w:rsidRDefault="00C754C9">
      <w:pPr>
        <w:pStyle w:val="FootnoteText"/>
      </w:pPr>
      <w:r>
        <w:rPr>
          <w:rStyle w:val="FootnoteReference"/>
        </w:rPr>
        <w:footnoteRef/>
      </w:r>
      <w:r>
        <w:t xml:space="preserve"> As of December 2018, the most recent Domestic Violence Awareness Month material on the FAP website is an All Coast from Oct 2016 – two years prior. </w:t>
      </w:r>
      <w:hyperlink r:id="rId9" w:history="1">
        <w:r w:rsidRPr="00ED3598">
          <w:rPr>
            <w:rStyle w:val="Hyperlink"/>
            <w:color w:val="000000" w:themeColor="text1"/>
            <w:u w:val="none"/>
          </w:rPr>
          <w:t>https://www.dcms.uscg.mil/Our-Organization/Assistant-Commandant-for-Human-Resources-CG-1/Health-Safety-and-Work-Life-CG-11/Office-of-Work-Life-CG-111/Family-Advocacy-Program/</w:t>
        </w:r>
      </w:hyperlink>
      <w:r w:rsidRPr="00ED3598">
        <w:rPr>
          <w:color w:val="000000" w:themeColor="text1"/>
        </w:rPr>
        <w:t xml:space="preserve">; </w:t>
      </w:r>
      <w:hyperlink r:id="rId10" w:history="1">
        <w:r w:rsidRPr="00ED3598">
          <w:rPr>
            <w:rStyle w:val="Hyperlink"/>
            <w:color w:val="000000" w:themeColor="text1"/>
            <w:u w:val="none"/>
          </w:rPr>
          <w:t>https://www.dcms.uscg.mil/Portals/10/CG-1/cg111/docs/pdf/357-16_ALCOAST[1].txt?ver=2017-04-29-084856-210</w:t>
        </w:r>
      </w:hyperlink>
      <w:r w:rsidRPr="00ED3598">
        <w:rPr>
          <w:color w:val="000000" w:themeColor="text1"/>
        </w:rPr>
        <w:t xml:space="preserve">. The latest blog post was in 2015. http://allhands.coastguard.dodlive.mil/2015/10/07/national-domestic-violence-awareness-month/ . The latest Presidential Proclamation was in 2016. </w:t>
      </w:r>
      <w:hyperlink r:id="rId11" w:history="1">
        <w:r w:rsidRPr="00ED3598">
          <w:rPr>
            <w:rStyle w:val="Hyperlink"/>
            <w:color w:val="000000" w:themeColor="text1"/>
            <w:u w:val="none"/>
          </w:rPr>
          <w:t>https://obamawhitehouse.archives.gov/the-press-office/2016/10/01/presidential-proclamation-national-domestic-violence-awareness-month</w:t>
        </w:r>
      </w:hyperlink>
      <w:r w:rsidRPr="00ED3598">
        <w:rPr>
          <w:color w:val="000000" w:themeColor="text1"/>
        </w:rPr>
        <w:t xml:space="preserve">. </w:t>
      </w:r>
    </w:p>
  </w:footnote>
  <w:footnote w:id="147">
    <w:p w14:paraId="7AF3EA84" w14:textId="52F1126E" w:rsidR="00C754C9" w:rsidRDefault="00C754C9">
      <w:pPr>
        <w:pStyle w:val="FootnoteText"/>
      </w:pPr>
      <w:r>
        <w:rPr>
          <w:rStyle w:val="FootnoteReference"/>
        </w:rPr>
        <w:footnoteRef/>
      </w:r>
      <w:r>
        <w:t xml:space="preserve"> </w:t>
      </w:r>
      <w:r w:rsidRPr="005F6D65">
        <w:t xml:space="preserve">Jennifer </w:t>
      </w:r>
      <w:r w:rsidRPr="005F6D65">
        <w:t>Heintz, </w:t>
      </w:r>
      <w:r w:rsidRPr="00ED3598">
        <w:rPr>
          <w:i/>
        </w:rPr>
        <w:t>Safe at Home Base? A Look at the Military's New Approach to Dealing with Domestic Violence on Military Installations,</w:t>
      </w:r>
      <w:r w:rsidRPr="005F6D65">
        <w:t xml:space="preserve"> 48 St. Louis U. L.J. 277, 290–91 (2003)</w:t>
      </w:r>
    </w:p>
  </w:footnote>
  <w:footnote w:id="148">
    <w:p w14:paraId="0AB14B86" w14:textId="78342F1C" w:rsidR="00C754C9" w:rsidRPr="00CF7397" w:rsidRDefault="00C754C9">
      <w:pPr>
        <w:pStyle w:val="FootnoteText"/>
      </w:pPr>
      <w:r>
        <w:rPr>
          <w:rStyle w:val="FootnoteReference"/>
        </w:rPr>
        <w:footnoteRef/>
      </w:r>
      <w:r>
        <w:t xml:space="preserve"> </w:t>
      </w:r>
      <w:r w:rsidR="00CF7397" w:rsidRPr="000B0634">
        <w:rPr>
          <w:color w:val="000000" w:themeColor="text1"/>
        </w:rPr>
        <w:t xml:space="preserve">Department of Defense, </w:t>
      </w:r>
      <w:r w:rsidR="00CF7397" w:rsidRPr="000B0634">
        <w:rPr>
          <w:i/>
          <w:color w:val="000000" w:themeColor="text1"/>
        </w:rPr>
        <w:t xml:space="preserve">Report on Child Abuse and Neglect and Domestic Abuse in the Military for Fiscal Year </w:t>
      </w:r>
      <w:r w:rsidR="00CF7397" w:rsidRPr="000B0634">
        <w:rPr>
          <w:color w:val="000000" w:themeColor="text1"/>
        </w:rPr>
        <w:t xml:space="preserve">2017, </w:t>
      </w:r>
      <w:r w:rsidR="00CF7397" w:rsidRPr="000B0634">
        <w:rPr>
          <w:i/>
          <w:color w:val="000000" w:themeColor="text1"/>
        </w:rPr>
        <w:t>supra</w:t>
      </w:r>
      <w:r w:rsidR="000B0634" w:rsidRPr="000B0634">
        <w:rPr>
          <w:color w:val="000000" w:themeColor="text1"/>
        </w:rPr>
        <w:t xml:space="preserve"> at 28-30, 43-45.</w:t>
      </w:r>
    </w:p>
  </w:footnote>
  <w:footnote w:id="149">
    <w:p w14:paraId="32720CA5" w14:textId="3A40DF71" w:rsidR="00C754C9" w:rsidRDefault="00C754C9" w:rsidP="001857CD">
      <w:pPr>
        <w:pStyle w:val="FootnoteText"/>
      </w:pPr>
      <w:r w:rsidRPr="009B5A39">
        <w:rPr>
          <w:rStyle w:val="FootnoteReference"/>
        </w:rPr>
        <w:footnoteRef/>
      </w:r>
      <w:r w:rsidRPr="009B5A39">
        <w:t xml:space="preserve"> United States Coast Guard, </w:t>
      </w:r>
      <w:r w:rsidR="000B0634">
        <w:rPr>
          <w:i/>
        </w:rPr>
        <w:t>17</w:t>
      </w:r>
      <w:r w:rsidRPr="009B5A39">
        <w:rPr>
          <w:i/>
        </w:rPr>
        <w:t xml:space="preserve"> Strategic Plan</w:t>
      </w:r>
      <w:r w:rsidR="000B0634">
        <w:rPr>
          <w:i/>
        </w:rPr>
        <w:t>, supra</w:t>
      </w:r>
      <w:r w:rsidR="000B0634">
        <w:t xml:space="preserve"> at 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5805440"/>
      <w:docPartObj>
        <w:docPartGallery w:val="Page Numbers (Top of Page)"/>
        <w:docPartUnique/>
      </w:docPartObj>
    </w:sdtPr>
    <w:sdtEndPr>
      <w:rPr>
        <w:rStyle w:val="PageNumber"/>
      </w:rPr>
    </w:sdtEndPr>
    <w:sdtContent>
      <w:p w14:paraId="71314848" w14:textId="74CE0294" w:rsidR="00C754C9" w:rsidRDefault="00C754C9" w:rsidP="007B42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945F71" w14:textId="77777777" w:rsidR="00C754C9" w:rsidRDefault="00C754C9" w:rsidP="008F48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6663038"/>
      <w:docPartObj>
        <w:docPartGallery w:val="Page Numbers (Top of Page)"/>
        <w:docPartUnique/>
      </w:docPartObj>
    </w:sdtPr>
    <w:sdtEndPr>
      <w:rPr>
        <w:rStyle w:val="PageNumber"/>
      </w:rPr>
    </w:sdtEndPr>
    <w:sdtContent>
      <w:p w14:paraId="5E0E1321" w14:textId="78A641BA" w:rsidR="00C754C9" w:rsidRDefault="00C754C9" w:rsidP="007B42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50E0A7F6" w14:textId="7D55C5FE" w:rsidR="00C754C9" w:rsidRDefault="000E512C" w:rsidP="008F48BB">
    <w:pPr>
      <w:pStyle w:val="Header"/>
      <w:ind w:right="360"/>
    </w:pPr>
    <w:r>
      <w:t>Selective Duty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1" w15:restartNumberingAfterBreak="0">
    <w:nsid w:val="061B5BE6"/>
    <w:multiLevelType w:val="hybridMultilevel"/>
    <w:tmpl w:val="A79A5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C661D"/>
    <w:multiLevelType w:val="multilevel"/>
    <w:tmpl w:val="5580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26C2F"/>
    <w:multiLevelType w:val="hybridMultilevel"/>
    <w:tmpl w:val="E0AEF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B1E1A"/>
    <w:multiLevelType w:val="hybridMultilevel"/>
    <w:tmpl w:val="056ECE54"/>
    <w:lvl w:ilvl="0" w:tplc="F1284684">
      <w:start w:val="1"/>
      <w:numFmt w:val="decimal"/>
      <w:lvlText w:val="%1."/>
      <w:lvlJc w:val="left"/>
      <w:pPr>
        <w:ind w:left="1430" w:hanging="360"/>
      </w:pPr>
      <w:rPr>
        <w:rFonts w:hint="default"/>
        <w:b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5" w15:restartNumberingAfterBreak="0">
    <w:nsid w:val="10B8059C"/>
    <w:multiLevelType w:val="multilevel"/>
    <w:tmpl w:val="CE5E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FC0B0B"/>
    <w:multiLevelType w:val="hybridMultilevel"/>
    <w:tmpl w:val="8902A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A553B"/>
    <w:multiLevelType w:val="hybridMultilevel"/>
    <w:tmpl w:val="AE54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10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E30B82"/>
    <w:multiLevelType w:val="hybridMultilevel"/>
    <w:tmpl w:val="278686FA"/>
    <w:lvl w:ilvl="0" w:tplc="2D709DF4">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31844D35"/>
    <w:multiLevelType w:val="multilevel"/>
    <w:tmpl w:val="F0EE7CB4"/>
    <w:lvl w:ilvl="0">
      <w:start w:val="1"/>
      <w:numFmt w:val="upperRoman"/>
      <w:lvlText w:val="%1."/>
      <w:lvlJc w:val="left"/>
      <w:pPr>
        <w:ind w:left="360" w:hanging="360"/>
      </w:pPr>
      <w:rPr>
        <w:rFonts w:asciiTheme="minorHAnsi" w:hAnsiTheme="minorHAnsi" w:hint="default"/>
      </w:rPr>
    </w:lvl>
    <w:lvl w:ilvl="1">
      <w:start w:val="1"/>
      <w:numFmt w:val="upperLetter"/>
      <w:lvlText w:val="%2."/>
      <w:lvlJc w:val="left"/>
      <w:pPr>
        <w:ind w:left="720" w:hanging="360"/>
      </w:pPr>
      <w:rPr>
        <w:rFonts w:asciiTheme="minorHAnsi" w:hAnsiTheme="minorHAnsi" w:hint="default"/>
        <w:b w:val="0"/>
      </w:rPr>
    </w:lvl>
    <w:lvl w:ilvl="2">
      <w:start w:val="1"/>
      <w:numFmt w:val="decimal"/>
      <w:lvlText w:val="%3."/>
      <w:lvlJc w:val="left"/>
      <w:pPr>
        <w:ind w:left="1080" w:hanging="360"/>
      </w:pPr>
      <w:rPr>
        <w:rFonts w:asciiTheme="minorHAnsi" w:hAnsiTheme="minorHAnsi" w:hint="default"/>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131560"/>
    <w:multiLevelType w:val="multilevel"/>
    <w:tmpl w:val="0409001D"/>
    <w:styleLink w:val="Style1"/>
    <w:lvl w:ilvl="0">
      <w:start w:val="1"/>
      <w:numFmt w:val="upperRoman"/>
      <w:lvlText w:val="%1)"/>
      <w:lvlJc w:val="left"/>
      <w:pPr>
        <w:ind w:left="360" w:hanging="360"/>
      </w:pPr>
      <w:rPr>
        <w:rFonts w:asciiTheme="minorHAnsi" w:hAnsiTheme="minorHAnsi"/>
      </w:rPr>
    </w:lvl>
    <w:lvl w:ilvl="1">
      <w:start w:val="1"/>
      <w:numFmt w:val="upperLetter"/>
      <w:lvlText w:val="%2)"/>
      <w:lvlJc w:val="left"/>
      <w:pPr>
        <w:ind w:left="720" w:hanging="360"/>
      </w:pPr>
      <w:rPr>
        <w:rFonts w:asciiTheme="minorHAnsi" w:hAnsiTheme="minorHAnsi"/>
      </w:rPr>
    </w:lvl>
    <w:lvl w:ilvl="2">
      <w:start w:val="1"/>
      <w:numFmt w:val="decimal"/>
      <w:lvlText w:val="%3)"/>
      <w:lvlJc w:val="left"/>
      <w:pPr>
        <w:ind w:left="1080" w:hanging="360"/>
      </w:pPr>
      <w:rPr>
        <w:rFonts w:asciiTheme="minorHAnsi" w:hAnsiTheme="minorHAnsi"/>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B53468"/>
    <w:multiLevelType w:val="multilevel"/>
    <w:tmpl w:val="93EC373C"/>
    <w:lvl w:ilvl="0">
      <w:start w:val="1"/>
      <w:numFmt w:val="upperRoman"/>
      <w:lvlText w:val="%1."/>
      <w:lvlJc w:val="left"/>
      <w:pPr>
        <w:ind w:left="360" w:hanging="360"/>
      </w:pPr>
      <w:rPr>
        <w:rFonts w:asciiTheme="minorHAnsi" w:hAnsiTheme="minorHAnsi" w:hint="default"/>
      </w:rPr>
    </w:lvl>
    <w:lvl w:ilvl="1">
      <w:start w:val="1"/>
      <w:numFmt w:val="upperLetter"/>
      <w:lvlText w:val="%2."/>
      <w:lvlJc w:val="left"/>
      <w:pPr>
        <w:ind w:left="720" w:hanging="360"/>
      </w:pPr>
      <w:rPr>
        <w:rFonts w:asciiTheme="minorHAnsi" w:hAnsiTheme="minorHAnsi" w:hint="default"/>
      </w:rPr>
    </w:lvl>
    <w:lvl w:ilvl="2">
      <w:start w:val="1"/>
      <w:numFmt w:val="decimal"/>
      <w:lvlText w:val="%3."/>
      <w:lvlJc w:val="left"/>
      <w:pPr>
        <w:ind w:left="1080" w:hanging="360"/>
      </w:pPr>
      <w:rPr>
        <w:rFonts w:asciiTheme="minorHAnsi" w:hAnsiTheme="minorHAnsi" w:hint="default"/>
      </w:rPr>
    </w:lvl>
    <w:lvl w:ilvl="3">
      <w:start w:val="1"/>
      <w:numFmt w:val="lowerRoman"/>
      <w:lvlText w:val="%4"/>
      <w:lvlJc w:val="left"/>
      <w:pPr>
        <w:ind w:left="1440" w:hanging="360"/>
      </w:pPr>
      <w:rPr>
        <w:rFonts w:asciiTheme="minorHAnsi" w:hAnsiTheme="minorHAns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600780"/>
    <w:multiLevelType w:val="hybridMultilevel"/>
    <w:tmpl w:val="0AAE35E8"/>
    <w:lvl w:ilvl="0" w:tplc="C8D08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F44CD"/>
    <w:multiLevelType w:val="hybridMultilevel"/>
    <w:tmpl w:val="719E4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3B79D8"/>
    <w:multiLevelType w:val="hybridMultilevel"/>
    <w:tmpl w:val="1DE43E76"/>
    <w:lvl w:ilvl="0" w:tplc="BA9ED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E1647"/>
    <w:multiLevelType w:val="hybridMultilevel"/>
    <w:tmpl w:val="9C283502"/>
    <w:lvl w:ilvl="0" w:tplc="20060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80A86"/>
    <w:multiLevelType w:val="hybridMultilevel"/>
    <w:tmpl w:val="68D6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7C60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9" w15:restartNumberingAfterBreak="0">
    <w:nsid w:val="70430A84"/>
    <w:multiLevelType w:val="hybridMultilevel"/>
    <w:tmpl w:val="37C8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61F3A"/>
    <w:multiLevelType w:val="hybridMultilevel"/>
    <w:tmpl w:val="1AB25DC2"/>
    <w:lvl w:ilvl="0" w:tplc="6446419A">
      <w:start w:val="1"/>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1" w15:restartNumberingAfterBreak="0">
    <w:nsid w:val="71D961A2"/>
    <w:multiLevelType w:val="hybridMultilevel"/>
    <w:tmpl w:val="8B3612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A5659B"/>
    <w:multiLevelType w:val="multilevel"/>
    <w:tmpl w:val="DFAA2EE6"/>
    <w:lvl w:ilvl="0">
      <w:start w:val="1"/>
      <w:numFmt w:val="upperRoman"/>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23" w15:restartNumberingAfterBreak="0">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4"/>
  </w:num>
  <w:num w:numId="2">
    <w:abstractNumId w:val="18"/>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8"/>
  </w:num>
  <w:num w:numId="9">
    <w:abstractNumId w:val="10"/>
  </w:num>
  <w:num w:numId="10">
    <w:abstractNumId w:val="2"/>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6"/>
  </w:num>
  <w:num w:numId="15">
    <w:abstractNumId w:val="13"/>
  </w:num>
  <w:num w:numId="16">
    <w:abstractNumId w:val="1"/>
  </w:num>
  <w:num w:numId="17">
    <w:abstractNumId w:val="3"/>
  </w:num>
  <w:num w:numId="18">
    <w:abstractNumId w:val="9"/>
  </w:num>
  <w:num w:numId="19">
    <w:abstractNumId w:val="20"/>
  </w:num>
  <w:num w:numId="20">
    <w:abstractNumId w:val="4"/>
  </w:num>
  <w:num w:numId="21">
    <w:abstractNumId w:val="15"/>
  </w:num>
  <w:num w:numId="22">
    <w:abstractNumId w:val="21"/>
  </w:num>
  <w:num w:numId="23">
    <w:abstractNumId w:val="19"/>
  </w:num>
  <w:num w:numId="24">
    <w:abstractNumId w:val="7"/>
  </w:num>
  <w:num w:numId="25">
    <w:abstractNumId w:val="1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64"/>
    <w:rsid w:val="00033E9C"/>
    <w:rsid w:val="00056F07"/>
    <w:rsid w:val="00070107"/>
    <w:rsid w:val="00071BF0"/>
    <w:rsid w:val="000B0634"/>
    <w:rsid w:val="000B1BFC"/>
    <w:rsid w:val="000C44A1"/>
    <w:rsid w:val="000E0156"/>
    <w:rsid w:val="000E512C"/>
    <w:rsid w:val="00117A78"/>
    <w:rsid w:val="00142ABA"/>
    <w:rsid w:val="0014594E"/>
    <w:rsid w:val="001574D6"/>
    <w:rsid w:val="0016282A"/>
    <w:rsid w:val="00165462"/>
    <w:rsid w:val="00165D18"/>
    <w:rsid w:val="00167A47"/>
    <w:rsid w:val="00174500"/>
    <w:rsid w:val="00180BC1"/>
    <w:rsid w:val="001857CD"/>
    <w:rsid w:val="001A27E8"/>
    <w:rsid w:val="001B78A0"/>
    <w:rsid w:val="001C2DAD"/>
    <w:rsid w:val="001E1168"/>
    <w:rsid w:val="001E306D"/>
    <w:rsid w:val="001E614F"/>
    <w:rsid w:val="0020067D"/>
    <w:rsid w:val="00214017"/>
    <w:rsid w:val="00214C11"/>
    <w:rsid w:val="00216D9D"/>
    <w:rsid w:val="0023294C"/>
    <w:rsid w:val="00254EE1"/>
    <w:rsid w:val="002558C6"/>
    <w:rsid w:val="00262850"/>
    <w:rsid w:val="00283DFA"/>
    <w:rsid w:val="00296A91"/>
    <w:rsid w:val="002A2733"/>
    <w:rsid w:val="002A3838"/>
    <w:rsid w:val="002B1F98"/>
    <w:rsid w:val="002C429F"/>
    <w:rsid w:val="002C600E"/>
    <w:rsid w:val="002D54FD"/>
    <w:rsid w:val="002F4DDB"/>
    <w:rsid w:val="003114E1"/>
    <w:rsid w:val="00315808"/>
    <w:rsid w:val="00331778"/>
    <w:rsid w:val="00333184"/>
    <w:rsid w:val="00334CB2"/>
    <w:rsid w:val="003428A0"/>
    <w:rsid w:val="00353261"/>
    <w:rsid w:val="003A275B"/>
    <w:rsid w:val="003A2E03"/>
    <w:rsid w:val="003C47AC"/>
    <w:rsid w:val="003C48D7"/>
    <w:rsid w:val="003C497F"/>
    <w:rsid w:val="003D2139"/>
    <w:rsid w:val="003D3CD6"/>
    <w:rsid w:val="003D4C2F"/>
    <w:rsid w:val="003D56C7"/>
    <w:rsid w:val="003F71AF"/>
    <w:rsid w:val="003F7679"/>
    <w:rsid w:val="00412789"/>
    <w:rsid w:val="00413D3B"/>
    <w:rsid w:val="004245F4"/>
    <w:rsid w:val="00454654"/>
    <w:rsid w:val="00462E24"/>
    <w:rsid w:val="00466F01"/>
    <w:rsid w:val="004861EF"/>
    <w:rsid w:val="00492244"/>
    <w:rsid w:val="004B709F"/>
    <w:rsid w:val="004C03B7"/>
    <w:rsid w:val="004F02AB"/>
    <w:rsid w:val="004F1B59"/>
    <w:rsid w:val="004F3D8A"/>
    <w:rsid w:val="004F7CDA"/>
    <w:rsid w:val="00501386"/>
    <w:rsid w:val="0050396C"/>
    <w:rsid w:val="005318E0"/>
    <w:rsid w:val="00534DF4"/>
    <w:rsid w:val="00541427"/>
    <w:rsid w:val="00542F6F"/>
    <w:rsid w:val="00553C71"/>
    <w:rsid w:val="00585EFD"/>
    <w:rsid w:val="005A7796"/>
    <w:rsid w:val="005B3DEB"/>
    <w:rsid w:val="005C4B94"/>
    <w:rsid w:val="005E2284"/>
    <w:rsid w:val="005F377A"/>
    <w:rsid w:val="005F6D65"/>
    <w:rsid w:val="00601DAD"/>
    <w:rsid w:val="00611690"/>
    <w:rsid w:val="00615409"/>
    <w:rsid w:val="00626301"/>
    <w:rsid w:val="00671549"/>
    <w:rsid w:val="00672931"/>
    <w:rsid w:val="006843B1"/>
    <w:rsid w:val="006A28F3"/>
    <w:rsid w:val="006D3890"/>
    <w:rsid w:val="006D38A4"/>
    <w:rsid w:val="006D4CB6"/>
    <w:rsid w:val="00714BBA"/>
    <w:rsid w:val="00725C05"/>
    <w:rsid w:val="007451C8"/>
    <w:rsid w:val="00747E5D"/>
    <w:rsid w:val="00752A00"/>
    <w:rsid w:val="00757E5E"/>
    <w:rsid w:val="007705FD"/>
    <w:rsid w:val="00771406"/>
    <w:rsid w:val="0079324B"/>
    <w:rsid w:val="00796DCF"/>
    <w:rsid w:val="007A1A6C"/>
    <w:rsid w:val="007A6BC5"/>
    <w:rsid w:val="007B42A5"/>
    <w:rsid w:val="007B7647"/>
    <w:rsid w:val="007D7818"/>
    <w:rsid w:val="007F016C"/>
    <w:rsid w:val="007F4390"/>
    <w:rsid w:val="0080591D"/>
    <w:rsid w:val="00813C7A"/>
    <w:rsid w:val="0082375A"/>
    <w:rsid w:val="00823BF0"/>
    <w:rsid w:val="00826798"/>
    <w:rsid w:val="00841CB8"/>
    <w:rsid w:val="00842290"/>
    <w:rsid w:val="008505CE"/>
    <w:rsid w:val="00850C96"/>
    <w:rsid w:val="008555EF"/>
    <w:rsid w:val="00862FA2"/>
    <w:rsid w:val="008630A7"/>
    <w:rsid w:val="00883832"/>
    <w:rsid w:val="008910E2"/>
    <w:rsid w:val="0089561E"/>
    <w:rsid w:val="008A47CC"/>
    <w:rsid w:val="008A5504"/>
    <w:rsid w:val="008B18FA"/>
    <w:rsid w:val="008C25BD"/>
    <w:rsid w:val="008F48BB"/>
    <w:rsid w:val="009037C4"/>
    <w:rsid w:val="00904B11"/>
    <w:rsid w:val="00916EF5"/>
    <w:rsid w:val="00933565"/>
    <w:rsid w:val="00945AD8"/>
    <w:rsid w:val="00966A38"/>
    <w:rsid w:val="009869B8"/>
    <w:rsid w:val="009B129A"/>
    <w:rsid w:val="009E3C55"/>
    <w:rsid w:val="00A053E6"/>
    <w:rsid w:val="00A05BCE"/>
    <w:rsid w:val="00A165C7"/>
    <w:rsid w:val="00A223B5"/>
    <w:rsid w:val="00A318B4"/>
    <w:rsid w:val="00A34B81"/>
    <w:rsid w:val="00A34F38"/>
    <w:rsid w:val="00A61453"/>
    <w:rsid w:val="00A63318"/>
    <w:rsid w:val="00A7441A"/>
    <w:rsid w:val="00AA2B6C"/>
    <w:rsid w:val="00AA3D41"/>
    <w:rsid w:val="00AB6034"/>
    <w:rsid w:val="00AC24CC"/>
    <w:rsid w:val="00AD6DF7"/>
    <w:rsid w:val="00AE0A00"/>
    <w:rsid w:val="00AE2CDB"/>
    <w:rsid w:val="00AF1980"/>
    <w:rsid w:val="00AF44B5"/>
    <w:rsid w:val="00AF6EA6"/>
    <w:rsid w:val="00AF75C6"/>
    <w:rsid w:val="00B03D85"/>
    <w:rsid w:val="00B139BA"/>
    <w:rsid w:val="00B17532"/>
    <w:rsid w:val="00B463C9"/>
    <w:rsid w:val="00B57F20"/>
    <w:rsid w:val="00B667EC"/>
    <w:rsid w:val="00B671D1"/>
    <w:rsid w:val="00B712E9"/>
    <w:rsid w:val="00B76669"/>
    <w:rsid w:val="00B9530F"/>
    <w:rsid w:val="00B95F54"/>
    <w:rsid w:val="00BB763A"/>
    <w:rsid w:val="00BC402D"/>
    <w:rsid w:val="00BD5EC4"/>
    <w:rsid w:val="00BF5BC2"/>
    <w:rsid w:val="00C0274C"/>
    <w:rsid w:val="00C077CD"/>
    <w:rsid w:val="00C10224"/>
    <w:rsid w:val="00C25790"/>
    <w:rsid w:val="00C30D45"/>
    <w:rsid w:val="00C4479F"/>
    <w:rsid w:val="00C46EDF"/>
    <w:rsid w:val="00C7185A"/>
    <w:rsid w:val="00C754C9"/>
    <w:rsid w:val="00C8389F"/>
    <w:rsid w:val="00CA19F3"/>
    <w:rsid w:val="00CB322E"/>
    <w:rsid w:val="00CD4EFB"/>
    <w:rsid w:val="00CD503C"/>
    <w:rsid w:val="00CE3DD4"/>
    <w:rsid w:val="00CE7519"/>
    <w:rsid w:val="00CF62BE"/>
    <w:rsid w:val="00CF7397"/>
    <w:rsid w:val="00D106D6"/>
    <w:rsid w:val="00D11971"/>
    <w:rsid w:val="00D27745"/>
    <w:rsid w:val="00D77780"/>
    <w:rsid w:val="00D826C1"/>
    <w:rsid w:val="00D82E05"/>
    <w:rsid w:val="00D93197"/>
    <w:rsid w:val="00D947C2"/>
    <w:rsid w:val="00D96196"/>
    <w:rsid w:val="00DB6F75"/>
    <w:rsid w:val="00DE06AB"/>
    <w:rsid w:val="00E01E0C"/>
    <w:rsid w:val="00E22D7A"/>
    <w:rsid w:val="00E40323"/>
    <w:rsid w:val="00E42137"/>
    <w:rsid w:val="00E51D9A"/>
    <w:rsid w:val="00E748A2"/>
    <w:rsid w:val="00E837BC"/>
    <w:rsid w:val="00E87079"/>
    <w:rsid w:val="00E94A16"/>
    <w:rsid w:val="00E97331"/>
    <w:rsid w:val="00EC3093"/>
    <w:rsid w:val="00ED3598"/>
    <w:rsid w:val="00ED430F"/>
    <w:rsid w:val="00EE505E"/>
    <w:rsid w:val="00EF3530"/>
    <w:rsid w:val="00EF5BD3"/>
    <w:rsid w:val="00F00A03"/>
    <w:rsid w:val="00F0587B"/>
    <w:rsid w:val="00F45243"/>
    <w:rsid w:val="00F52A52"/>
    <w:rsid w:val="00F56266"/>
    <w:rsid w:val="00F82064"/>
    <w:rsid w:val="00F83CBD"/>
    <w:rsid w:val="00FA5585"/>
    <w:rsid w:val="00FB0F7D"/>
    <w:rsid w:val="00FB599B"/>
    <w:rsid w:val="00FC1864"/>
    <w:rsid w:val="00FC7EC6"/>
    <w:rsid w:val="00FF0E55"/>
    <w:rsid w:val="00FF60D9"/>
    <w:rsid w:val="00FF6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D25C"/>
  <w15:chartTrackingRefBased/>
  <w15:docId w15:val="{742F5C49-B889-E54C-A086-27FB7A9E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53E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3E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053E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053E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53E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53E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53E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53E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53E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864"/>
    <w:pPr>
      <w:tabs>
        <w:tab w:val="center" w:pos="4680"/>
        <w:tab w:val="right" w:pos="9360"/>
      </w:tabs>
    </w:pPr>
  </w:style>
  <w:style w:type="character" w:customStyle="1" w:styleId="HeaderChar">
    <w:name w:val="Header Char"/>
    <w:basedOn w:val="DefaultParagraphFont"/>
    <w:link w:val="Header"/>
    <w:uiPriority w:val="99"/>
    <w:rsid w:val="00FC1864"/>
  </w:style>
  <w:style w:type="paragraph" w:styleId="Footer">
    <w:name w:val="footer"/>
    <w:basedOn w:val="Normal"/>
    <w:link w:val="FooterChar"/>
    <w:uiPriority w:val="99"/>
    <w:unhideWhenUsed/>
    <w:rsid w:val="00FC1864"/>
    <w:pPr>
      <w:tabs>
        <w:tab w:val="center" w:pos="4680"/>
        <w:tab w:val="right" w:pos="9360"/>
      </w:tabs>
    </w:pPr>
  </w:style>
  <w:style w:type="character" w:customStyle="1" w:styleId="FooterChar">
    <w:name w:val="Footer Char"/>
    <w:basedOn w:val="DefaultParagraphFont"/>
    <w:link w:val="Footer"/>
    <w:uiPriority w:val="99"/>
    <w:rsid w:val="00FC1864"/>
  </w:style>
  <w:style w:type="character" w:styleId="Hyperlink">
    <w:name w:val="Hyperlink"/>
    <w:basedOn w:val="DefaultParagraphFont"/>
    <w:uiPriority w:val="99"/>
    <w:unhideWhenUsed/>
    <w:rsid w:val="00FC1864"/>
    <w:rPr>
      <w:color w:val="0563C1" w:themeColor="hyperlink"/>
      <w:u w:val="single"/>
    </w:rPr>
  </w:style>
  <w:style w:type="character" w:customStyle="1" w:styleId="UnresolvedMention1">
    <w:name w:val="Unresolved Mention1"/>
    <w:basedOn w:val="DefaultParagraphFont"/>
    <w:uiPriority w:val="99"/>
    <w:semiHidden/>
    <w:unhideWhenUsed/>
    <w:rsid w:val="00FC1864"/>
    <w:rPr>
      <w:color w:val="605E5C"/>
      <w:shd w:val="clear" w:color="auto" w:fill="E1DFDD"/>
    </w:rPr>
  </w:style>
  <w:style w:type="character" w:customStyle="1" w:styleId="apple-converted-space">
    <w:name w:val="apple-converted-space"/>
    <w:basedOn w:val="DefaultParagraphFont"/>
    <w:rsid w:val="002D54FD"/>
  </w:style>
  <w:style w:type="paragraph" w:styleId="ListParagraph">
    <w:name w:val="List Paragraph"/>
    <w:basedOn w:val="Normal"/>
    <w:uiPriority w:val="34"/>
    <w:qFormat/>
    <w:rsid w:val="00A053E6"/>
    <w:pPr>
      <w:ind w:left="720"/>
      <w:contextualSpacing/>
    </w:pPr>
  </w:style>
  <w:style w:type="character" w:customStyle="1" w:styleId="Heading1Char">
    <w:name w:val="Heading 1 Char"/>
    <w:basedOn w:val="DefaultParagraphFont"/>
    <w:link w:val="Heading1"/>
    <w:uiPriority w:val="9"/>
    <w:rsid w:val="00A053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053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053E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A053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53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53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53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53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53E6"/>
    <w:rPr>
      <w:rFonts w:asciiTheme="majorHAnsi" w:eastAsiaTheme="majorEastAsia" w:hAnsiTheme="majorHAnsi" w:cstheme="majorBidi"/>
      <w:i/>
      <w:iCs/>
      <w:color w:val="272727" w:themeColor="text1" w:themeTint="D8"/>
      <w:sz w:val="21"/>
      <w:szCs w:val="21"/>
    </w:rPr>
  </w:style>
  <w:style w:type="paragraph" w:customStyle="1" w:styleId="Listlevel3">
    <w:name w:val="List level 3"/>
    <w:basedOn w:val="Normal"/>
    <w:rsid w:val="00A053E6"/>
    <w:pPr>
      <w:numPr>
        <w:numId w:val="3"/>
      </w:numPr>
    </w:pPr>
  </w:style>
  <w:style w:type="numbering" w:customStyle="1" w:styleId="Style1">
    <w:name w:val="Style1"/>
    <w:uiPriority w:val="99"/>
    <w:rsid w:val="00A053E6"/>
    <w:pPr>
      <w:numPr>
        <w:numId w:val="6"/>
      </w:numPr>
    </w:pPr>
  </w:style>
  <w:style w:type="character" w:styleId="FollowedHyperlink">
    <w:name w:val="FollowedHyperlink"/>
    <w:basedOn w:val="DefaultParagraphFont"/>
    <w:uiPriority w:val="99"/>
    <w:semiHidden/>
    <w:unhideWhenUsed/>
    <w:rsid w:val="00542F6F"/>
    <w:rPr>
      <w:color w:val="954F72" w:themeColor="followedHyperlink"/>
      <w:u w:val="single"/>
    </w:rPr>
  </w:style>
  <w:style w:type="paragraph" w:styleId="NormalWeb">
    <w:name w:val="Normal (Web)"/>
    <w:basedOn w:val="Normal"/>
    <w:uiPriority w:val="99"/>
    <w:semiHidden/>
    <w:unhideWhenUsed/>
    <w:rsid w:val="00904B1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03D85"/>
    <w:rPr>
      <w:i/>
      <w:iCs/>
    </w:rPr>
  </w:style>
  <w:style w:type="character" w:styleId="UnresolvedMention">
    <w:name w:val="Unresolved Mention"/>
    <w:basedOn w:val="DefaultParagraphFont"/>
    <w:uiPriority w:val="99"/>
    <w:rsid w:val="00AF1980"/>
    <w:rPr>
      <w:color w:val="605E5C"/>
      <w:shd w:val="clear" w:color="auto" w:fill="E1DFDD"/>
    </w:rPr>
  </w:style>
  <w:style w:type="paragraph" w:styleId="FootnoteText">
    <w:name w:val="footnote text"/>
    <w:basedOn w:val="Normal"/>
    <w:link w:val="FootnoteTextChar"/>
    <w:unhideWhenUsed/>
    <w:rsid w:val="00462E24"/>
    <w:rPr>
      <w:sz w:val="20"/>
      <w:szCs w:val="20"/>
    </w:rPr>
  </w:style>
  <w:style w:type="character" w:customStyle="1" w:styleId="FootnoteTextChar">
    <w:name w:val="Footnote Text Char"/>
    <w:basedOn w:val="DefaultParagraphFont"/>
    <w:link w:val="FootnoteText"/>
    <w:rsid w:val="00462E24"/>
    <w:rPr>
      <w:sz w:val="20"/>
      <w:szCs w:val="20"/>
    </w:rPr>
  </w:style>
  <w:style w:type="character" w:styleId="FootnoteReference">
    <w:name w:val="footnote reference"/>
    <w:basedOn w:val="DefaultParagraphFont"/>
    <w:unhideWhenUsed/>
    <w:rsid w:val="00462E24"/>
    <w:rPr>
      <w:vertAlign w:val="superscript"/>
    </w:rPr>
  </w:style>
  <w:style w:type="paragraph" w:styleId="EndnoteText">
    <w:name w:val="endnote text"/>
    <w:basedOn w:val="Normal"/>
    <w:link w:val="EndnoteTextChar"/>
    <w:uiPriority w:val="99"/>
    <w:semiHidden/>
    <w:unhideWhenUsed/>
    <w:rsid w:val="00F56266"/>
    <w:rPr>
      <w:sz w:val="20"/>
      <w:szCs w:val="20"/>
    </w:rPr>
  </w:style>
  <w:style w:type="character" w:customStyle="1" w:styleId="EndnoteTextChar">
    <w:name w:val="Endnote Text Char"/>
    <w:basedOn w:val="DefaultParagraphFont"/>
    <w:link w:val="EndnoteText"/>
    <w:uiPriority w:val="99"/>
    <w:semiHidden/>
    <w:rsid w:val="00F56266"/>
    <w:rPr>
      <w:sz w:val="20"/>
      <w:szCs w:val="20"/>
    </w:rPr>
  </w:style>
  <w:style w:type="character" w:styleId="EndnoteReference">
    <w:name w:val="endnote reference"/>
    <w:basedOn w:val="DefaultParagraphFont"/>
    <w:uiPriority w:val="99"/>
    <w:semiHidden/>
    <w:unhideWhenUsed/>
    <w:rsid w:val="00F56266"/>
    <w:rPr>
      <w:vertAlign w:val="superscript"/>
    </w:rPr>
  </w:style>
  <w:style w:type="character" w:customStyle="1" w:styleId="cosmallcaps">
    <w:name w:val="co_smallcaps"/>
    <w:basedOn w:val="DefaultParagraphFont"/>
    <w:rsid w:val="00412789"/>
  </w:style>
  <w:style w:type="character" w:customStyle="1" w:styleId="costarpage">
    <w:name w:val="co_starpage"/>
    <w:basedOn w:val="DefaultParagraphFont"/>
    <w:rsid w:val="00412789"/>
  </w:style>
  <w:style w:type="paragraph" w:customStyle="1" w:styleId="Listlevel2">
    <w:name w:val="List level 2"/>
    <w:basedOn w:val="Normal"/>
    <w:unhideWhenUsed/>
    <w:qFormat/>
    <w:rsid w:val="00117A78"/>
    <w:pPr>
      <w:widowControl w:val="0"/>
      <w:numPr>
        <w:numId w:val="12"/>
      </w:numPr>
      <w:tabs>
        <w:tab w:val="left" w:pos="720"/>
      </w:tabs>
      <w:spacing w:line="480" w:lineRule="auto"/>
    </w:pPr>
    <w:rPr>
      <w:rFonts w:ascii="Times New Roman" w:eastAsia="Times New Roman" w:hAnsi="Times New Roman" w:cs="Times New Roman"/>
      <w:snapToGrid w:val="0"/>
      <w:szCs w:val="20"/>
    </w:rPr>
  </w:style>
  <w:style w:type="paragraph" w:customStyle="1" w:styleId="Listlevel1">
    <w:name w:val="List level 1"/>
    <w:basedOn w:val="Normal"/>
    <w:unhideWhenUsed/>
    <w:qFormat/>
    <w:rsid w:val="00117A78"/>
    <w:pPr>
      <w:widowControl w:val="0"/>
      <w:numPr>
        <w:numId w:val="13"/>
      </w:numPr>
      <w:tabs>
        <w:tab w:val="left" w:pos="10800"/>
      </w:tabs>
      <w:spacing w:line="480" w:lineRule="auto"/>
    </w:pPr>
    <w:rPr>
      <w:rFonts w:ascii="Times New Roman" w:eastAsia="Times New Roman" w:hAnsi="Times New Roman" w:cs="Times New Roman"/>
      <w:snapToGrid w:val="0"/>
      <w:szCs w:val="20"/>
    </w:rPr>
  </w:style>
  <w:style w:type="character" w:styleId="PageNumber">
    <w:name w:val="page number"/>
    <w:basedOn w:val="DefaultParagraphFont"/>
    <w:uiPriority w:val="99"/>
    <w:semiHidden/>
    <w:unhideWhenUsed/>
    <w:rsid w:val="00966A38"/>
  </w:style>
  <w:style w:type="table" w:styleId="TableGrid">
    <w:name w:val="Table Grid"/>
    <w:basedOn w:val="TableNormal"/>
    <w:uiPriority w:val="39"/>
    <w:rsid w:val="00DB6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4245F4"/>
    <w:rPr>
      <w:sz w:val="20"/>
      <w:szCs w:val="20"/>
    </w:rPr>
  </w:style>
  <w:style w:type="character" w:customStyle="1" w:styleId="CommentTextChar">
    <w:name w:val="Comment Text Char"/>
    <w:basedOn w:val="DefaultParagraphFont"/>
    <w:link w:val="CommentText"/>
    <w:uiPriority w:val="99"/>
    <w:semiHidden/>
    <w:rsid w:val="004245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081">
      <w:bodyDiv w:val="1"/>
      <w:marLeft w:val="0"/>
      <w:marRight w:val="0"/>
      <w:marTop w:val="0"/>
      <w:marBottom w:val="0"/>
      <w:divBdr>
        <w:top w:val="none" w:sz="0" w:space="0" w:color="auto"/>
        <w:left w:val="none" w:sz="0" w:space="0" w:color="auto"/>
        <w:bottom w:val="none" w:sz="0" w:space="0" w:color="auto"/>
        <w:right w:val="none" w:sz="0" w:space="0" w:color="auto"/>
      </w:divBdr>
    </w:div>
    <w:div w:id="12849545">
      <w:bodyDiv w:val="1"/>
      <w:marLeft w:val="0"/>
      <w:marRight w:val="0"/>
      <w:marTop w:val="0"/>
      <w:marBottom w:val="0"/>
      <w:divBdr>
        <w:top w:val="none" w:sz="0" w:space="0" w:color="auto"/>
        <w:left w:val="none" w:sz="0" w:space="0" w:color="auto"/>
        <w:bottom w:val="none" w:sz="0" w:space="0" w:color="auto"/>
        <w:right w:val="none" w:sz="0" w:space="0" w:color="auto"/>
      </w:divBdr>
      <w:divsChild>
        <w:div w:id="1695037130">
          <w:marLeft w:val="0"/>
          <w:marRight w:val="0"/>
          <w:marTop w:val="0"/>
          <w:marBottom w:val="0"/>
          <w:divBdr>
            <w:top w:val="none" w:sz="0" w:space="0" w:color="auto"/>
            <w:left w:val="none" w:sz="0" w:space="0" w:color="auto"/>
            <w:bottom w:val="none" w:sz="0" w:space="0" w:color="auto"/>
            <w:right w:val="none" w:sz="0" w:space="0" w:color="auto"/>
          </w:divBdr>
          <w:divsChild>
            <w:div w:id="213467400">
              <w:marLeft w:val="0"/>
              <w:marRight w:val="0"/>
              <w:marTop w:val="0"/>
              <w:marBottom w:val="0"/>
              <w:divBdr>
                <w:top w:val="none" w:sz="0" w:space="0" w:color="auto"/>
                <w:left w:val="none" w:sz="0" w:space="0" w:color="auto"/>
                <w:bottom w:val="none" w:sz="0" w:space="0" w:color="auto"/>
                <w:right w:val="none" w:sz="0" w:space="0" w:color="auto"/>
              </w:divBdr>
              <w:divsChild>
                <w:div w:id="795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2141">
      <w:bodyDiv w:val="1"/>
      <w:marLeft w:val="0"/>
      <w:marRight w:val="0"/>
      <w:marTop w:val="0"/>
      <w:marBottom w:val="0"/>
      <w:divBdr>
        <w:top w:val="none" w:sz="0" w:space="0" w:color="auto"/>
        <w:left w:val="none" w:sz="0" w:space="0" w:color="auto"/>
        <w:bottom w:val="none" w:sz="0" w:space="0" w:color="auto"/>
        <w:right w:val="none" w:sz="0" w:space="0" w:color="auto"/>
      </w:divBdr>
      <w:divsChild>
        <w:div w:id="201796090">
          <w:marLeft w:val="0"/>
          <w:marRight w:val="0"/>
          <w:marTop w:val="0"/>
          <w:marBottom w:val="0"/>
          <w:divBdr>
            <w:top w:val="none" w:sz="0" w:space="0" w:color="auto"/>
            <w:left w:val="none" w:sz="0" w:space="0" w:color="auto"/>
            <w:bottom w:val="none" w:sz="0" w:space="0" w:color="auto"/>
            <w:right w:val="none" w:sz="0" w:space="0" w:color="auto"/>
          </w:divBdr>
          <w:divsChild>
            <w:div w:id="2066054083">
              <w:marLeft w:val="0"/>
              <w:marRight w:val="0"/>
              <w:marTop w:val="0"/>
              <w:marBottom w:val="0"/>
              <w:divBdr>
                <w:top w:val="none" w:sz="0" w:space="0" w:color="auto"/>
                <w:left w:val="none" w:sz="0" w:space="0" w:color="auto"/>
                <w:bottom w:val="none" w:sz="0" w:space="0" w:color="auto"/>
                <w:right w:val="none" w:sz="0" w:space="0" w:color="auto"/>
              </w:divBdr>
              <w:divsChild>
                <w:div w:id="981078454">
                  <w:marLeft w:val="0"/>
                  <w:marRight w:val="0"/>
                  <w:marTop w:val="0"/>
                  <w:marBottom w:val="0"/>
                  <w:divBdr>
                    <w:top w:val="none" w:sz="0" w:space="0" w:color="auto"/>
                    <w:left w:val="none" w:sz="0" w:space="0" w:color="auto"/>
                    <w:bottom w:val="none" w:sz="0" w:space="0" w:color="auto"/>
                    <w:right w:val="none" w:sz="0" w:space="0" w:color="auto"/>
                  </w:divBdr>
                  <w:divsChild>
                    <w:div w:id="1817794683">
                      <w:marLeft w:val="0"/>
                      <w:marRight w:val="0"/>
                      <w:marTop w:val="0"/>
                      <w:marBottom w:val="0"/>
                      <w:divBdr>
                        <w:top w:val="none" w:sz="0" w:space="0" w:color="auto"/>
                        <w:left w:val="none" w:sz="0" w:space="0" w:color="auto"/>
                        <w:bottom w:val="none" w:sz="0" w:space="0" w:color="auto"/>
                        <w:right w:val="none" w:sz="0" w:space="0" w:color="auto"/>
                      </w:divBdr>
                    </w:div>
                    <w:div w:id="2666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1732">
      <w:bodyDiv w:val="1"/>
      <w:marLeft w:val="0"/>
      <w:marRight w:val="0"/>
      <w:marTop w:val="0"/>
      <w:marBottom w:val="0"/>
      <w:divBdr>
        <w:top w:val="none" w:sz="0" w:space="0" w:color="auto"/>
        <w:left w:val="none" w:sz="0" w:space="0" w:color="auto"/>
        <w:bottom w:val="none" w:sz="0" w:space="0" w:color="auto"/>
        <w:right w:val="none" w:sz="0" w:space="0" w:color="auto"/>
      </w:divBdr>
      <w:divsChild>
        <w:div w:id="47924839">
          <w:marLeft w:val="0"/>
          <w:marRight w:val="0"/>
          <w:marTop w:val="0"/>
          <w:marBottom w:val="0"/>
          <w:divBdr>
            <w:top w:val="none" w:sz="0" w:space="0" w:color="auto"/>
            <w:left w:val="none" w:sz="0" w:space="0" w:color="auto"/>
            <w:bottom w:val="none" w:sz="0" w:space="0" w:color="auto"/>
            <w:right w:val="none" w:sz="0" w:space="0" w:color="auto"/>
          </w:divBdr>
          <w:divsChild>
            <w:div w:id="2111125044">
              <w:marLeft w:val="0"/>
              <w:marRight w:val="0"/>
              <w:marTop w:val="0"/>
              <w:marBottom w:val="0"/>
              <w:divBdr>
                <w:top w:val="none" w:sz="0" w:space="0" w:color="auto"/>
                <w:left w:val="none" w:sz="0" w:space="0" w:color="auto"/>
                <w:bottom w:val="none" w:sz="0" w:space="0" w:color="auto"/>
                <w:right w:val="none" w:sz="0" w:space="0" w:color="auto"/>
              </w:divBdr>
              <w:divsChild>
                <w:div w:id="782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301">
      <w:bodyDiv w:val="1"/>
      <w:marLeft w:val="0"/>
      <w:marRight w:val="0"/>
      <w:marTop w:val="0"/>
      <w:marBottom w:val="0"/>
      <w:divBdr>
        <w:top w:val="none" w:sz="0" w:space="0" w:color="auto"/>
        <w:left w:val="none" w:sz="0" w:space="0" w:color="auto"/>
        <w:bottom w:val="none" w:sz="0" w:space="0" w:color="auto"/>
        <w:right w:val="none" w:sz="0" w:space="0" w:color="auto"/>
      </w:divBdr>
    </w:div>
    <w:div w:id="171648786">
      <w:bodyDiv w:val="1"/>
      <w:marLeft w:val="0"/>
      <w:marRight w:val="0"/>
      <w:marTop w:val="0"/>
      <w:marBottom w:val="0"/>
      <w:divBdr>
        <w:top w:val="none" w:sz="0" w:space="0" w:color="auto"/>
        <w:left w:val="none" w:sz="0" w:space="0" w:color="auto"/>
        <w:bottom w:val="none" w:sz="0" w:space="0" w:color="auto"/>
        <w:right w:val="none" w:sz="0" w:space="0" w:color="auto"/>
      </w:divBdr>
      <w:divsChild>
        <w:div w:id="17974554">
          <w:marLeft w:val="0"/>
          <w:marRight w:val="0"/>
          <w:marTop w:val="0"/>
          <w:marBottom w:val="0"/>
          <w:divBdr>
            <w:top w:val="none" w:sz="0" w:space="0" w:color="auto"/>
            <w:left w:val="none" w:sz="0" w:space="0" w:color="auto"/>
            <w:bottom w:val="none" w:sz="0" w:space="0" w:color="auto"/>
            <w:right w:val="none" w:sz="0" w:space="0" w:color="auto"/>
          </w:divBdr>
          <w:divsChild>
            <w:div w:id="170531348">
              <w:marLeft w:val="0"/>
              <w:marRight w:val="0"/>
              <w:marTop w:val="0"/>
              <w:marBottom w:val="0"/>
              <w:divBdr>
                <w:top w:val="none" w:sz="0" w:space="0" w:color="auto"/>
                <w:left w:val="none" w:sz="0" w:space="0" w:color="auto"/>
                <w:bottom w:val="none" w:sz="0" w:space="0" w:color="auto"/>
                <w:right w:val="none" w:sz="0" w:space="0" w:color="auto"/>
              </w:divBdr>
              <w:divsChild>
                <w:div w:id="877858457">
                  <w:marLeft w:val="0"/>
                  <w:marRight w:val="0"/>
                  <w:marTop w:val="0"/>
                  <w:marBottom w:val="0"/>
                  <w:divBdr>
                    <w:top w:val="none" w:sz="0" w:space="0" w:color="auto"/>
                    <w:left w:val="none" w:sz="0" w:space="0" w:color="auto"/>
                    <w:bottom w:val="none" w:sz="0" w:space="0" w:color="auto"/>
                    <w:right w:val="none" w:sz="0" w:space="0" w:color="auto"/>
                  </w:divBdr>
                </w:div>
                <w:div w:id="1380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1269">
      <w:bodyDiv w:val="1"/>
      <w:marLeft w:val="0"/>
      <w:marRight w:val="0"/>
      <w:marTop w:val="0"/>
      <w:marBottom w:val="0"/>
      <w:divBdr>
        <w:top w:val="none" w:sz="0" w:space="0" w:color="auto"/>
        <w:left w:val="none" w:sz="0" w:space="0" w:color="auto"/>
        <w:bottom w:val="none" w:sz="0" w:space="0" w:color="auto"/>
        <w:right w:val="none" w:sz="0" w:space="0" w:color="auto"/>
      </w:divBdr>
    </w:div>
    <w:div w:id="178278416">
      <w:bodyDiv w:val="1"/>
      <w:marLeft w:val="0"/>
      <w:marRight w:val="0"/>
      <w:marTop w:val="0"/>
      <w:marBottom w:val="0"/>
      <w:divBdr>
        <w:top w:val="none" w:sz="0" w:space="0" w:color="auto"/>
        <w:left w:val="none" w:sz="0" w:space="0" w:color="auto"/>
        <w:bottom w:val="none" w:sz="0" w:space="0" w:color="auto"/>
        <w:right w:val="none" w:sz="0" w:space="0" w:color="auto"/>
      </w:divBdr>
      <w:divsChild>
        <w:div w:id="2098675126">
          <w:marLeft w:val="0"/>
          <w:marRight w:val="0"/>
          <w:marTop w:val="0"/>
          <w:marBottom w:val="0"/>
          <w:divBdr>
            <w:top w:val="none" w:sz="0" w:space="0" w:color="auto"/>
            <w:left w:val="none" w:sz="0" w:space="0" w:color="auto"/>
            <w:bottom w:val="none" w:sz="0" w:space="0" w:color="auto"/>
            <w:right w:val="none" w:sz="0" w:space="0" w:color="auto"/>
          </w:divBdr>
          <w:divsChild>
            <w:div w:id="1944650722">
              <w:marLeft w:val="0"/>
              <w:marRight w:val="0"/>
              <w:marTop w:val="0"/>
              <w:marBottom w:val="0"/>
              <w:divBdr>
                <w:top w:val="none" w:sz="0" w:space="0" w:color="auto"/>
                <w:left w:val="none" w:sz="0" w:space="0" w:color="auto"/>
                <w:bottom w:val="none" w:sz="0" w:space="0" w:color="auto"/>
                <w:right w:val="none" w:sz="0" w:space="0" w:color="auto"/>
              </w:divBdr>
              <w:divsChild>
                <w:div w:id="5866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93033">
      <w:bodyDiv w:val="1"/>
      <w:marLeft w:val="0"/>
      <w:marRight w:val="0"/>
      <w:marTop w:val="0"/>
      <w:marBottom w:val="0"/>
      <w:divBdr>
        <w:top w:val="none" w:sz="0" w:space="0" w:color="auto"/>
        <w:left w:val="none" w:sz="0" w:space="0" w:color="auto"/>
        <w:bottom w:val="none" w:sz="0" w:space="0" w:color="auto"/>
        <w:right w:val="none" w:sz="0" w:space="0" w:color="auto"/>
      </w:divBdr>
      <w:divsChild>
        <w:div w:id="1713531348">
          <w:marLeft w:val="0"/>
          <w:marRight w:val="0"/>
          <w:marTop w:val="0"/>
          <w:marBottom w:val="0"/>
          <w:divBdr>
            <w:top w:val="none" w:sz="0" w:space="0" w:color="auto"/>
            <w:left w:val="none" w:sz="0" w:space="0" w:color="auto"/>
            <w:bottom w:val="none" w:sz="0" w:space="0" w:color="auto"/>
            <w:right w:val="none" w:sz="0" w:space="0" w:color="auto"/>
          </w:divBdr>
          <w:divsChild>
            <w:div w:id="72705666">
              <w:marLeft w:val="0"/>
              <w:marRight w:val="0"/>
              <w:marTop w:val="0"/>
              <w:marBottom w:val="0"/>
              <w:divBdr>
                <w:top w:val="none" w:sz="0" w:space="0" w:color="auto"/>
                <w:left w:val="none" w:sz="0" w:space="0" w:color="auto"/>
                <w:bottom w:val="none" w:sz="0" w:space="0" w:color="auto"/>
                <w:right w:val="none" w:sz="0" w:space="0" w:color="auto"/>
              </w:divBdr>
              <w:divsChild>
                <w:div w:id="38550766">
                  <w:marLeft w:val="0"/>
                  <w:marRight w:val="0"/>
                  <w:marTop w:val="0"/>
                  <w:marBottom w:val="0"/>
                  <w:divBdr>
                    <w:top w:val="none" w:sz="0" w:space="0" w:color="auto"/>
                    <w:left w:val="none" w:sz="0" w:space="0" w:color="auto"/>
                    <w:bottom w:val="none" w:sz="0" w:space="0" w:color="auto"/>
                    <w:right w:val="none" w:sz="0" w:space="0" w:color="auto"/>
                  </w:divBdr>
                </w:div>
              </w:divsChild>
            </w:div>
            <w:div w:id="1731074549">
              <w:marLeft w:val="0"/>
              <w:marRight w:val="0"/>
              <w:marTop w:val="0"/>
              <w:marBottom w:val="0"/>
              <w:divBdr>
                <w:top w:val="none" w:sz="0" w:space="0" w:color="auto"/>
                <w:left w:val="none" w:sz="0" w:space="0" w:color="auto"/>
                <w:bottom w:val="none" w:sz="0" w:space="0" w:color="auto"/>
                <w:right w:val="none" w:sz="0" w:space="0" w:color="auto"/>
              </w:divBdr>
              <w:divsChild>
                <w:div w:id="10205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6344">
          <w:marLeft w:val="0"/>
          <w:marRight w:val="0"/>
          <w:marTop w:val="0"/>
          <w:marBottom w:val="0"/>
          <w:divBdr>
            <w:top w:val="none" w:sz="0" w:space="0" w:color="auto"/>
            <w:left w:val="none" w:sz="0" w:space="0" w:color="auto"/>
            <w:bottom w:val="none" w:sz="0" w:space="0" w:color="auto"/>
            <w:right w:val="none" w:sz="0" w:space="0" w:color="auto"/>
          </w:divBdr>
          <w:divsChild>
            <w:div w:id="325212047">
              <w:marLeft w:val="0"/>
              <w:marRight w:val="0"/>
              <w:marTop w:val="0"/>
              <w:marBottom w:val="0"/>
              <w:divBdr>
                <w:top w:val="none" w:sz="0" w:space="0" w:color="auto"/>
                <w:left w:val="none" w:sz="0" w:space="0" w:color="auto"/>
                <w:bottom w:val="none" w:sz="0" w:space="0" w:color="auto"/>
                <w:right w:val="none" w:sz="0" w:space="0" w:color="auto"/>
              </w:divBdr>
              <w:divsChild>
                <w:div w:id="1679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3836">
      <w:bodyDiv w:val="1"/>
      <w:marLeft w:val="0"/>
      <w:marRight w:val="0"/>
      <w:marTop w:val="0"/>
      <w:marBottom w:val="0"/>
      <w:divBdr>
        <w:top w:val="none" w:sz="0" w:space="0" w:color="auto"/>
        <w:left w:val="none" w:sz="0" w:space="0" w:color="auto"/>
        <w:bottom w:val="none" w:sz="0" w:space="0" w:color="auto"/>
        <w:right w:val="none" w:sz="0" w:space="0" w:color="auto"/>
      </w:divBdr>
    </w:div>
    <w:div w:id="282078525">
      <w:bodyDiv w:val="1"/>
      <w:marLeft w:val="0"/>
      <w:marRight w:val="0"/>
      <w:marTop w:val="0"/>
      <w:marBottom w:val="0"/>
      <w:divBdr>
        <w:top w:val="none" w:sz="0" w:space="0" w:color="auto"/>
        <w:left w:val="none" w:sz="0" w:space="0" w:color="auto"/>
        <w:bottom w:val="none" w:sz="0" w:space="0" w:color="auto"/>
        <w:right w:val="none" w:sz="0" w:space="0" w:color="auto"/>
      </w:divBdr>
      <w:divsChild>
        <w:div w:id="1826119197">
          <w:marLeft w:val="0"/>
          <w:marRight w:val="0"/>
          <w:marTop w:val="0"/>
          <w:marBottom w:val="0"/>
          <w:divBdr>
            <w:top w:val="none" w:sz="0" w:space="0" w:color="auto"/>
            <w:left w:val="none" w:sz="0" w:space="0" w:color="auto"/>
            <w:bottom w:val="none" w:sz="0" w:space="0" w:color="auto"/>
            <w:right w:val="none" w:sz="0" w:space="0" w:color="auto"/>
          </w:divBdr>
          <w:divsChild>
            <w:div w:id="1266890045">
              <w:marLeft w:val="0"/>
              <w:marRight w:val="0"/>
              <w:marTop w:val="0"/>
              <w:marBottom w:val="0"/>
              <w:divBdr>
                <w:top w:val="none" w:sz="0" w:space="0" w:color="auto"/>
                <w:left w:val="none" w:sz="0" w:space="0" w:color="auto"/>
                <w:bottom w:val="none" w:sz="0" w:space="0" w:color="auto"/>
                <w:right w:val="none" w:sz="0" w:space="0" w:color="auto"/>
              </w:divBdr>
              <w:divsChild>
                <w:div w:id="1526863490">
                  <w:marLeft w:val="0"/>
                  <w:marRight w:val="0"/>
                  <w:marTop w:val="0"/>
                  <w:marBottom w:val="0"/>
                  <w:divBdr>
                    <w:top w:val="none" w:sz="0" w:space="0" w:color="auto"/>
                    <w:left w:val="none" w:sz="0" w:space="0" w:color="auto"/>
                    <w:bottom w:val="none" w:sz="0" w:space="0" w:color="auto"/>
                    <w:right w:val="none" w:sz="0" w:space="0" w:color="auto"/>
                  </w:divBdr>
                </w:div>
                <w:div w:id="19921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6471">
      <w:bodyDiv w:val="1"/>
      <w:marLeft w:val="0"/>
      <w:marRight w:val="0"/>
      <w:marTop w:val="0"/>
      <w:marBottom w:val="0"/>
      <w:divBdr>
        <w:top w:val="none" w:sz="0" w:space="0" w:color="auto"/>
        <w:left w:val="none" w:sz="0" w:space="0" w:color="auto"/>
        <w:bottom w:val="none" w:sz="0" w:space="0" w:color="auto"/>
        <w:right w:val="none" w:sz="0" w:space="0" w:color="auto"/>
      </w:divBdr>
    </w:div>
    <w:div w:id="309796070">
      <w:bodyDiv w:val="1"/>
      <w:marLeft w:val="0"/>
      <w:marRight w:val="0"/>
      <w:marTop w:val="0"/>
      <w:marBottom w:val="0"/>
      <w:divBdr>
        <w:top w:val="none" w:sz="0" w:space="0" w:color="auto"/>
        <w:left w:val="none" w:sz="0" w:space="0" w:color="auto"/>
        <w:bottom w:val="none" w:sz="0" w:space="0" w:color="auto"/>
        <w:right w:val="none" w:sz="0" w:space="0" w:color="auto"/>
      </w:divBdr>
    </w:div>
    <w:div w:id="320738099">
      <w:bodyDiv w:val="1"/>
      <w:marLeft w:val="0"/>
      <w:marRight w:val="0"/>
      <w:marTop w:val="0"/>
      <w:marBottom w:val="0"/>
      <w:divBdr>
        <w:top w:val="none" w:sz="0" w:space="0" w:color="auto"/>
        <w:left w:val="none" w:sz="0" w:space="0" w:color="auto"/>
        <w:bottom w:val="none" w:sz="0" w:space="0" w:color="auto"/>
        <w:right w:val="none" w:sz="0" w:space="0" w:color="auto"/>
      </w:divBdr>
    </w:div>
    <w:div w:id="332923944">
      <w:bodyDiv w:val="1"/>
      <w:marLeft w:val="0"/>
      <w:marRight w:val="0"/>
      <w:marTop w:val="0"/>
      <w:marBottom w:val="0"/>
      <w:divBdr>
        <w:top w:val="none" w:sz="0" w:space="0" w:color="auto"/>
        <w:left w:val="none" w:sz="0" w:space="0" w:color="auto"/>
        <w:bottom w:val="none" w:sz="0" w:space="0" w:color="auto"/>
        <w:right w:val="none" w:sz="0" w:space="0" w:color="auto"/>
      </w:divBdr>
      <w:divsChild>
        <w:div w:id="708187932">
          <w:marLeft w:val="0"/>
          <w:marRight w:val="0"/>
          <w:marTop w:val="0"/>
          <w:marBottom w:val="0"/>
          <w:divBdr>
            <w:top w:val="none" w:sz="0" w:space="0" w:color="auto"/>
            <w:left w:val="none" w:sz="0" w:space="0" w:color="auto"/>
            <w:bottom w:val="none" w:sz="0" w:space="0" w:color="auto"/>
            <w:right w:val="none" w:sz="0" w:space="0" w:color="auto"/>
          </w:divBdr>
          <w:divsChild>
            <w:div w:id="1573346508">
              <w:marLeft w:val="0"/>
              <w:marRight w:val="0"/>
              <w:marTop w:val="0"/>
              <w:marBottom w:val="0"/>
              <w:divBdr>
                <w:top w:val="none" w:sz="0" w:space="0" w:color="auto"/>
                <w:left w:val="none" w:sz="0" w:space="0" w:color="auto"/>
                <w:bottom w:val="none" w:sz="0" w:space="0" w:color="auto"/>
                <w:right w:val="none" w:sz="0" w:space="0" w:color="auto"/>
              </w:divBdr>
              <w:divsChild>
                <w:div w:id="276715170">
                  <w:marLeft w:val="0"/>
                  <w:marRight w:val="0"/>
                  <w:marTop w:val="0"/>
                  <w:marBottom w:val="0"/>
                  <w:divBdr>
                    <w:top w:val="none" w:sz="0" w:space="0" w:color="auto"/>
                    <w:left w:val="none" w:sz="0" w:space="0" w:color="auto"/>
                    <w:bottom w:val="none" w:sz="0" w:space="0" w:color="auto"/>
                    <w:right w:val="none" w:sz="0" w:space="0" w:color="auto"/>
                  </w:divBdr>
                </w:div>
                <w:div w:id="6899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4398">
      <w:bodyDiv w:val="1"/>
      <w:marLeft w:val="0"/>
      <w:marRight w:val="0"/>
      <w:marTop w:val="0"/>
      <w:marBottom w:val="0"/>
      <w:divBdr>
        <w:top w:val="none" w:sz="0" w:space="0" w:color="auto"/>
        <w:left w:val="none" w:sz="0" w:space="0" w:color="auto"/>
        <w:bottom w:val="none" w:sz="0" w:space="0" w:color="auto"/>
        <w:right w:val="none" w:sz="0" w:space="0" w:color="auto"/>
      </w:divBdr>
      <w:divsChild>
        <w:div w:id="1500853115">
          <w:marLeft w:val="0"/>
          <w:marRight w:val="0"/>
          <w:marTop w:val="0"/>
          <w:marBottom w:val="0"/>
          <w:divBdr>
            <w:top w:val="none" w:sz="0" w:space="0" w:color="auto"/>
            <w:left w:val="none" w:sz="0" w:space="0" w:color="auto"/>
            <w:bottom w:val="none" w:sz="0" w:space="0" w:color="auto"/>
            <w:right w:val="none" w:sz="0" w:space="0" w:color="auto"/>
          </w:divBdr>
          <w:divsChild>
            <w:div w:id="1346982713">
              <w:marLeft w:val="0"/>
              <w:marRight w:val="0"/>
              <w:marTop w:val="0"/>
              <w:marBottom w:val="0"/>
              <w:divBdr>
                <w:top w:val="none" w:sz="0" w:space="0" w:color="auto"/>
                <w:left w:val="none" w:sz="0" w:space="0" w:color="auto"/>
                <w:bottom w:val="none" w:sz="0" w:space="0" w:color="auto"/>
                <w:right w:val="none" w:sz="0" w:space="0" w:color="auto"/>
              </w:divBdr>
              <w:divsChild>
                <w:div w:id="14135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3902">
      <w:bodyDiv w:val="1"/>
      <w:marLeft w:val="0"/>
      <w:marRight w:val="0"/>
      <w:marTop w:val="0"/>
      <w:marBottom w:val="0"/>
      <w:divBdr>
        <w:top w:val="none" w:sz="0" w:space="0" w:color="auto"/>
        <w:left w:val="none" w:sz="0" w:space="0" w:color="auto"/>
        <w:bottom w:val="none" w:sz="0" w:space="0" w:color="auto"/>
        <w:right w:val="none" w:sz="0" w:space="0" w:color="auto"/>
      </w:divBdr>
    </w:div>
    <w:div w:id="389227307">
      <w:bodyDiv w:val="1"/>
      <w:marLeft w:val="0"/>
      <w:marRight w:val="0"/>
      <w:marTop w:val="0"/>
      <w:marBottom w:val="0"/>
      <w:divBdr>
        <w:top w:val="none" w:sz="0" w:space="0" w:color="auto"/>
        <w:left w:val="none" w:sz="0" w:space="0" w:color="auto"/>
        <w:bottom w:val="none" w:sz="0" w:space="0" w:color="auto"/>
        <w:right w:val="none" w:sz="0" w:space="0" w:color="auto"/>
      </w:divBdr>
    </w:div>
    <w:div w:id="390464079">
      <w:bodyDiv w:val="1"/>
      <w:marLeft w:val="0"/>
      <w:marRight w:val="0"/>
      <w:marTop w:val="0"/>
      <w:marBottom w:val="0"/>
      <w:divBdr>
        <w:top w:val="none" w:sz="0" w:space="0" w:color="auto"/>
        <w:left w:val="none" w:sz="0" w:space="0" w:color="auto"/>
        <w:bottom w:val="none" w:sz="0" w:space="0" w:color="auto"/>
        <w:right w:val="none" w:sz="0" w:space="0" w:color="auto"/>
      </w:divBdr>
    </w:div>
    <w:div w:id="413010471">
      <w:bodyDiv w:val="1"/>
      <w:marLeft w:val="0"/>
      <w:marRight w:val="0"/>
      <w:marTop w:val="0"/>
      <w:marBottom w:val="0"/>
      <w:divBdr>
        <w:top w:val="none" w:sz="0" w:space="0" w:color="auto"/>
        <w:left w:val="none" w:sz="0" w:space="0" w:color="auto"/>
        <w:bottom w:val="none" w:sz="0" w:space="0" w:color="auto"/>
        <w:right w:val="none" w:sz="0" w:space="0" w:color="auto"/>
      </w:divBdr>
      <w:divsChild>
        <w:div w:id="699017388">
          <w:marLeft w:val="0"/>
          <w:marRight w:val="0"/>
          <w:marTop w:val="0"/>
          <w:marBottom w:val="0"/>
          <w:divBdr>
            <w:top w:val="none" w:sz="0" w:space="0" w:color="auto"/>
            <w:left w:val="none" w:sz="0" w:space="0" w:color="auto"/>
            <w:bottom w:val="none" w:sz="0" w:space="0" w:color="auto"/>
            <w:right w:val="none" w:sz="0" w:space="0" w:color="auto"/>
          </w:divBdr>
        </w:div>
        <w:div w:id="2103642577">
          <w:marLeft w:val="0"/>
          <w:marRight w:val="0"/>
          <w:marTop w:val="240"/>
          <w:marBottom w:val="0"/>
          <w:divBdr>
            <w:top w:val="none" w:sz="0" w:space="0" w:color="auto"/>
            <w:left w:val="none" w:sz="0" w:space="0" w:color="auto"/>
            <w:bottom w:val="none" w:sz="0" w:space="0" w:color="auto"/>
            <w:right w:val="none" w:sz="0" w:space="0" w:color="auto"/>
          </w:divBdr>
          <w:divsChild>
            <w:div w:id="1714232338">
              <w:marLeft w:val="0"/>
              <w:marRight w:val="0"/>
              <w:marTop w:val="0"/>
              <w:marBottom w:val="0"/>
              <w:divBdr>
                <w:top w:val="none" w:sz="0" w:space="0" w:color="auto"/>
                <w:left w:val="none" w:sz="0" w:space="0" w:color="auto"/>
                <w:bottom w:val="none" w:sz="0" w:space="0" w:color="auto"/>
                <w:right w:val="none" w:sz="0" w:space="0" w:color="auto"/>
              </w:divBdr>
            </w:div>
          </w:divsChild>
        </w:div>
        <w:div w:id="493448386">
          <w:marLeft w:val="0"/>
          <w:marRight w:val="0"/>
          <w:marTop w:val="240"/>
          <w:marBottom w:val="0"/>
          <w:divBdr>
            <w:top w:val="none" w:sz="0" w:space="0" w:color="auto"/>
            <w:left w:val="none" w:sz="0" w:space="0" w:color="auto"/>
            <w:bottom w:val="none" w:sz="0" w:space="0" w:color="auto"/>
            <w:right w:val="none" w:sz="0" w:space="0" w:color="auto"/>
          </w:divBdr>
          <w:divsChild>
            <w:div w:id="867327560">
              <w:marLeft w:val="0"/>
              <w:marRight w:val="0"/>
              <w:marTop w:val="0"/>
              <w:marBottom w:val="0"/>
              <w:divBdr>
                <w:top w:val="none" w:sz="0" w:space="0" w:color="auto"/>
                <w:left w:val="none" w:sz="0" w:space="0" w:color="auto"/>
                <w:bottom w:val="none" w:sz="0" w:space="0" w:color="auto"/>
                <w:right w:val="none" w:sz="0" w:space="0" w:color="auto"/>
              </w:divBdr>
            </w:div>
          </w:divsChild>
        </w:div>
        <w:div w:id="905801052">
          <w:marLeft w:val="0"/>
          <w:marRight w:val="0"/>
          <w:marTop w:val="240"/>
          <w:marBottom w:val="0"/>
          <w:divBdr>
            <w:top w:val="none" w:sz="0" w:space="0" w:color="auto"/>
            <w:left w:val="none" w:sz="0" w:space="0" w:color="auto"/>
            <w:bottom w:val="none" w:sz="0" w:space="0" w:color="auto"/>
            <w:right w:val="none" w:sz="0" w:space="0" w:color="auto"/>
          </w:divBdr>
          <w:divsChild>
            <w:div w:id="474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7289">
      <w:bodyDiv w:val="1"/>
      <w:marLeft w:val="0"/>
      <w:marRight w:val="0"/>
      <w:marTop w:val="0"/>
      <w:marBottom w:val="0"/>
      <w:divBdr>
        <w:top w:val="none" w:sz="0" w:space="0" w:color="auto"/>
        <w:left w:val="none" w:sz="0" w:space="0" w:color="auto"/>
        <w:bottom w:val="none" w:sz="0" w:space="0" w:color="auto"/>
        <w:right w:val="none" w:sz="0" w:space="0" w:color="auto"/>
      </w:divBdr>
    </w:div>
    <w:div w:id="504521085">
      <w:bodyDiv w:val="1"/>
      <w:marLeft w:val="0"/>
      <w:marRight w:val="0"/>
      <w:marTop w:val="0"/>
      <w:marBottom w:val="0"/>
      <w:divBdr>
        <w:top w:val="none" w:sz="0" w:space="0" w:color="auto"/>
        <w:left w:val="none" w:sz="0" w:space="0" w:color="auto"/>
        <w:bottom w:val="none" w:sz="0" w:space="0" w:color="auto"/>
        <w:right w:val="none" w:sz="0" w:space="0" w:color="auto"/>
      </w:divBdr>
      <w:divsChild>
        <w:div w:id="1036781182">
          <w:marLeft w:val="0"/>
          <w:marRight w:val="0"/>
          <w:marTop w:val="0"/>
          <w:marBottom w:val="0"/>
          <w:divBdr>
            <w:top w:val="none" w:sz="0" w:space="0" w:color="auto"/>
            <w:left w:val="none" w:sz="0" w:space="0" w:color="auto"/>
            <w:bottom w:val="none" w:sz="0" w:space="0" w:color="auto"/>
            <w:right w:val="none" w:sz="0" w:space="0" w:color="auto"/>
          </w:divBdr>
          <w:divsChild>
            <w:div w:id="1568418690">
              <w:marLeft w:val="0"/>
              <w:marRight w:val="0"/>
              <w:marTop w:val="0"/>
              <w:marBottom w:val="0"/>
              <w:divBdr>
                <w:top w:val="none" w:sz="0" w:space="0" w:color="auto"/>
                <w:left w:val="none" w:sz="0" w:space="0" w:color="auto"/>
                <w:bottom w:val="none" w:sz="0" w:space="0" w:color="auto"/>
                <w:right w:val="none" w:sz="0" w:space="0" w:color="auto"/>
              </w:divBdr>
              <w:divsChild>
                <w:div w:id="469906081">
                  <w:marLeft w:val="0"/>
                  <w:marRight w:val="0"/>
                  <w:marTop w:val="0"/>
                  <w:marBottom w:val="0"/>
                  <w:divBdr>
                    <w:top w:val="none" w:sz="0" w:space="0" w:color="auto"/>
                    <w:left w:val="none" w:sz="0" w:space="0" w:color="auto"/>
                    <w:bottom w:val="none" w:sz="0" w:space="0" w:color="auto"/>
                    <w:right w:val="none" w:sz="0" w:space="0" w:color="auto"/>
                  </w:divBdr>
                  <w:divsChild>
                    <w:div w:id="1675035876">
                      <w:marLeft w:val="0"/>
                      <w:marRight w:val="0"/>
                      <w:marTop w:val="0"/>
                      <w:marBottom w:val="0"/>
                      <w:divBdr>
                        <w:top w:val="none" w:sz="0" w:space="0" w:color="auto"/>
                        <w:left w:val="none" w:sz="0" w:space="0" w:color="auto"/>
                        <w:bottom w:val="none" w:sz="0" w:space="0" w:color="auto"/>
                        <w:right w:val="none" w:sz="0" w:space="0" w:color="auto"/>
                      </w:divBdr>
                    </w:div>
                    <w:div w:id="5220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01585">
      <w:bodyDiv w:val="1"/>
      <w:marLeft w:val="0"/>
      <w:marRight w:val="0"/>
      <w:marTop w:val="0"/>
      <w:marBottom w:val="0"/>
      <w:divBdr>
        <w:top w:val="none" w:sz="0" w:space="0" w:color="auto"/>
        <w:left w:val="none" w:sz="0" w:space="0" w:color="auto"/>
        <w:bottom w:val="none" w:sz="0" w:space="0" w:color="auto"/>
        <w:right w:val="none" w:sz="0" w:space="0" w:color="auto"/>
      </w:divBdr>
    </w:div>
    <w:div w:id="508104066">
      <w:bodyDiv w:val="1"/>
      <w:marLeft w:val="0"/>
      <w:marRight w:val="0"/>
      <w:marTop w:val="0"/>
      <w:marBottom w:val="0"/>
      <w:divBdr>
        <w:top w:val="none" w:sz="0" w:space="0" w:color="auto"/>
        <w:left w:val="none" w:sz="0" w:space="0" w:color="auto"/>
        <w:bottom w:val="none" w:sz="0" w:space="0" w:color="auto"/>
        <w:right w:val="none" w:sz="0" w:space="0" w:color="auto"/>
      </w:divBdr>
    </w:div>
    <w:div w:id="539585492">
      <w:bodyDiv w:val="1"/>
      <w:marLeft w:val="0"/>
      <w:marRight w:val="0"/>
      <w:marTop w:val="0"/>
      <w:marBottom w:val="0"/>
      <w:divBdr>
        <w:top w:val="none" w:sz="0" w:space="0" w:color="auto"/>
        <w:left w:val="none" w:sz="0" w:space="0" w:color="auto"/>
        <w:bottom w:val="none" w:sz="0" w:space="0" w:color="auto"/>
        <w:right w:val="none" w:sz="0" w:space="0" w:color="auto"/>
      </w:divBdr>
    </w:div>
    <w:div w:id="561454306">
      <w:bodyDiv w:val="1"/>
      <w:marLeft w:val="0"/>
      <w:marRight w:val="0"/>
      <w:marTop w:val="0"/>
      <w:marBottom w:val="0"/>
      <w:divBdr>
        <w:top w:val="none" w:sz="0" w:space="0" w:color="auto"/>
        <w:left w:val="none" w:sz="0" w:space="0" w:color="auto"/>
        <w:bottom w:val="none" w:sz="0" w:space="0" w:color="auto"/>
        <w:right w:val="none" w:sz="0" w:space="0" w:color="auto"/>
      </w:divBdr>
      <w:divsChild>
        <w:div w:id="1773668957">
          <w:marLeft w:val="0"/>
          <w:marRight w:val="0"/>
          <w:marTop w:val="0"/>
          <w:marBottom w:val="0"/>
          <w:divBdr>
            <w:top w:val="none" w:sz="0" w:space="0" w:color="auto"/>
            <w:left w:val="none" w:sz="0" w:space="0" w:color="auto"/>
            <w:bottom w:val="none" w:sz="0" w:space="0" w:color="auto"/>
            <w:right w:val="none" w:sz="0" w:space="0" w:color="auto"/>
          </w:divBdr>
          <w:divsChild>
            <w:div w:id="504246468">
              <w:marLeft w:val="0"/>
              <w:marRight w:val="0"/>
              <w:marTop w:val="0"/>
              <w:marBottom w:val="0"/>
              <w:divBdr>
                <w:top w:val="none" w:sz="0" w:space="0" w:color="auto"/>
                <w:left w:val="none" w:sz="0" w:space="0" w:color="auto"/>
                <w:bottom w:val="none" w:sz="0" w:space="0" w:color="auto"/>
                <w:right w:val="none" w:sz="0" w:space="0" w:color="auto"/>
              </w:divBdr>
              <w:divsChild>
                <w:div w:id="8603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8509">
      <w:bodyDiv w:val="1"/>
      <w:marLeft w:val="0"/>
      <w:marRight w:val="0"/>
      <w:marTop w:val="0"/>
      <w:marBottom w:val="0"/>
      <w:divBdr>
        <w:top w:val="none" w:sz="0" w:space="0" w:color="auto"/>
        <w:left w:val="none" w:sz="0" w:space="0" w:color="auto"/>
        <w:bottom w:val="none" w:sz="0" w:space="0" w:color="auto"/>
        <w:right w:val="none" w:sz="0" w:space="0" w:color="auto"/>
      </w:divBdr>
      <w:divsChild>
        <w:div w:id="47803160">
          <w:marLeft w:val="0"/>
          <w:marRight w:val="0"/>
          <w:marTop w:val="0"/>
          <w:marBottom w:val="0"/>
          <w:divBdr>
            <w:top w:val="none" w:sz="0" w:space="0" w:color="auto"/>
            <w:left w:val="none" w:sz="0" w:space="0" w:color="auto"/>
            <w:bottom w:val="none" w:sz="0" w:space="0" w:color="auto"/>
            <w:right w:val="none" w:sz="0" w:space="0" w:color="auto"/>
          </w:divBdr>
          <w:divsChild>
            <w:div w:id="517698772">
              <w:marLeft w:val="0"/>
              <w:marRight w:val="0"/>
              <w:marTop w:val="0"/>
              <w:marBottom w:val="0"/>
              <w:divBdr>
                <w:top w:val="none" w:sz="0" w:space="0" w:color="auto"/>
                <w:left w:val="none" w:sz="0" w:space="0" w:color="auto"/>
                <w:bottom w:val="none" w:sz="0" w:space="0" w:color="auto"/>
                <w:right w:val="none" w:sz="0" w:space="0" w:color="auto"/>
              </w:divBdr>
              <w:divsChild>
                <w:div w:id="7737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8773">
      <w:bodyDiv w:val="1"/>
      <w:marLeft w:val="0"/>
      <w:marRight w:val="0"/>
      <w:marTop w:val="0"/>
      <w:marBottom w:val="0"/>
      <w:divBdr>
        <w:top w:val="none" w:sz="0" w:space="0" w:color="auto"/>
        <w:left w:val="none" w:sz="0" w:space="0" w:color="auto"/>
        <w:bottom w:val="none" w:sz="0" w:space="0" w:color="auto"/>
        <w:right w:val="none" w:sz="0" w:space="0" w:color="auto"/>
      </w:divBdr>
    </w:div>
    <w:div w:id="696807090">
      <w:bodyDiv w:val="1"/>
      <w:marLeft w:val="0"/>
      <w:marRight w:val="0"/>
      <w:marTop w:val="0"/>
      <w:marBottom w:val="0"/>
      <w:divBdr>
        <w:top w:val="none" w:sz="0" w:space="0" w:color="auto"/>
        <w:left w:val="none" w:sz="0" w:space="0" w:color="auto"/>
        <w:bottom w:val="none" w:sz="0" w:space="0" w:color="auto"/>
        <w:right w:val="none" w:sz="0" w:space="0" w:color="auto"/>
      </w:divBdr>
    </w:div>
    <w:div w:id="724647352">
      <w:bodyDiv w:val="1"/>
      <w:marLeft w:val="0"/>
      <w:marRight w:val="0"/>
      <w:marTop w:val="0"/>
      <w:marBottom w:val="0"/>
      <w:divBdr>
        <w:top w:val="none" w:sz="0" w:space="0" w:color="auto"/>
        <w:left w:val="none" w:sz="0" w:space="0" w:color="auto"/>
        <w:bottom w:val="none" w:sz="0" w:space="0" w:color="auto"/>
        <w:right w:val="none" w:sz="0" w:space="0" w:color="auto"/>
      </w:divBdr>
    </w:div>
    <w:div w:id="758212953">
      <w:bodyDiv w:val="1"/>
      <w:marLeft w:val="0"/>
      <w:marRight w:val="0"/>
      <w:marTop w:val="0"/>
      <w:marBottom w:val="0"/>
      <w:divBdr>
        <w:top w:val="none" w:sz="0" w:space="0" w:color="auto"/>
        <w:left w:val="none" w:sz="0" w:space="0" w:color="auto"/>
        <w:bottom w:val="none" w:sz="0" w:space="0" w:color="auto"/>
        <w:right w:val="none" w:sz="0" w:space="0" w:color="auto"/>
      </w:divBdr>
      <w:divsChild>
        <w:div w:id="754133620">
          <w:marLeft w:val="0"/>
          <w:marRight w:val="0"/>
          <w:marTop w:val="0"/>
          <w:marBottom w:val="0"/>
          <w:divBdr>
            <w:top w:val="none" w:sz="0" w:space="0" w:color="auto"/>
            <w:left w:val="none" w:sz="0" w:space="0" w:color="auto"/>
            <w:bottom w:val="none" w:sz="0" w:space="0" w:color="auto"/>
            <w:right w:val="none" w:sz="0" w:space="0" w:color="auto"/>
          </w:divBdr>
          <w:divsChild>
            <w:div w:id="1832601993">
              <w:marLeft w:val="0"/>
              <w:marRight w:val="0"/>
              <w:marTop w:val="0"/>
              <w:marBottom w:val="0"/>
              <w:divBdr>
                <w:top w:val="none" w:sz="0" w:space="0" w:color="auto"/>
                <w:left w:val="none" w:sz="0" w:space="0" w:color="auto"/>
                <w:bottom w:val="none" w:sz="0" w:space="0" w:color="auto"/>
                <w:right w:val="none" w:sz="0" w:space="0" w:color="auto"/>
              </w:divBdr>
              <w:divsChild>
                <w:div w:id="419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16861">
      <w:bodyDiv w:val="1"/>
      <w:marLeft w:val="0"/>
      <w:marRight w:val="0"/>
      <w:marTop w:val="0"/>
      <w:marBottom w:val="0"/>
      <w:divBdr>
        <w:top w:val="none" w:sz="0" w:space="0" w:color="auto"/>
        <w:left w:val="none" w:sz="0" w:space="0" w:color="auto"/>
        <w:bottom w:val="none" w:sz="0" w:space="0" w:color="auto"/>
        <w:right w:val="none" w:sz="0" w:space="0" w:color="auto"/>
      </w:divBdr>
      <w:divsChild>
        <w:div w:id="1203403742">
          <w:marLeft w:val="0"/>
          <w:marRight w:val="0"/>
          <w:marTop w:val="0"/>
          <w:marBottom w:val="0"/>
          <w:divBdr>
            <w:top w:val="none" w:sz="0" w:space="0" w:color="auto"/>
            <w:left w:val="none" w:sz="0" w:space="0" w:color="auto"/>
            <w:bottom w:val="none" w:sz="0" w:space="0" w:color="auto"/>
            <w:right w:val="none" w:sz="0" w:space="0" w:color="auto"/>
          </w:divBdr>
          <w:divsChild>
            <w:div w:id="1092748470">
              <w:marLeft w:val="0"/>
              <w:marRight w:val="0"/>
              <w:marTop w:val="0"/>
              <w:marBottom w:val="0"/>
              <w:divBdr>
                <w:top w:val="none" w:sz="0" w:space="0" w:color="auto"/>
                <w:left w:val="none" w:sz="0" w:space="0" w:color="auto"/>
                <w:bottom w:val="none" w:sz="0" w:space="0" w:color="auto"/>
                <w:right w:val="none" w:sz="0" w:space="0" w:color="auto"/>
              </w:divBdr>
              <w:divsChild>
                <w:div w:id="4549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6725">
      <w:bodyDiv w:val="1"/>
      <w:marLeft w:val="0"/>
      <w:marRight w:val="0"/>
      <w:marTop w:val="0"/>
      <w:marBottom w:val="0"/>
      <w:divBdr>
        <w:top w:val="none" w:sz="0" w:space="0" w:color="auto"/>
        <w:left w:val="none" w:sz="0" w:space="0" w:color="auto"/>
        <w:bottom w:val="none" w:sz="0" w:space="0" w:color="auto"/>
        <w:right w:val="none" w:sz="0" w:space="0" w:color="auto"/>
      </w:divBdr>
    </w:div>
    <w:div w:id="951403135">
      <w:bodyDiv w:val="1"/>
      <w:marLeft w:val="0"/>
      <w:marRight w:val="0"/>
      <w:marTop w:val="0"/>
      <w:marBottom w:val="0"/>
      <w:divBdr>
        <w:top w:val="none" w:sz="0" w:space="0" w:color="auto"/>
        <w:left w:val="none" w:sz="0" w:space="0" w:color="auto"/>
        <w:bottom w:val="none" w:sz="0" w:space="0" w:color="auto"/>
        <w:right w:val="none" w:sz="0" w:space="0" w:color="auto"/>
      </w:divBdr>
    </w:div>
    <w:div w:id="972103958">
      <w:bodyDiv w:val="1"/>
      <w:marLeft w:val="0"/>
      <w:marRight w:val="0"/>
      <w:marTop w:val="0"/>
      <w:marBottom w:val="0"/>
      <w:divBdr>
        <w:top w:val="none" w:sz="0" w:space="0" w:color="auto"/>
        <w:left w:val="none" w:sz="0" w:space="0" w:color="auto"/>
        <w:bottom w:val="none" w:sz="0" w:space="0" w:color="auto"/>
        <w:right w:val="none" w:sz="0" w:space="0" w:color="auto"/>
      </w:divBdr>
      <w:divsChild>
        <w:div w:id="909656694">
          <w:marLeft w:val="0"/>
          <w:marRight w:val="0"/>
          <w:marTop w:val="0"/>
          <w:marBottom w:val="0"/>
          <w:divBdr>
            <w:top w:val="none" w:sz="0" w:space="0" w:color="auto"/>
            <w:left w:val="none" w:sz="0" w:space="0" w:color="auto"/>
            <w:bottom w:val="none" w:sz="0" w:space="0" w:color="auto"/>
            <w:right w:val="none" w:sz="0" w:space="0" w:color="auto"/>
          </w:divBdr>
          <w:divsChild>
            <w:div w:id="670522079">
              <w:marLeft w:val="0"/>
              <w:marRight w:val="0"/>
              <w:marTop w:val="0"/>
              <w:marBottom w:val="0"/>
              <w:divBdr>
                <w:top w:val="none" w:sz="0" w:space="0" w:color="auto"/>
                <w:left w:val="none" w:sz="0" w:space="0" w:color="auto"/>
                <w:bottom w:val="none" w:sz="0" w:space="0" w:color="auto"/>
                <w:right w:val="none" w:sz="0" w:space="0" w:color="auto"/>
              </w:divBdr>
              <w:divsChild>
                <w:div w:id="146480665">
                  <w:marLeft w:val="0"/>
                  <w:marRight w:val="0"/>
                  <w:marTop w:val="0"/>
                  <w:marBottom w:val="0"/>
                  <w:divBdr>
                    <w:top w:val="none" w:sz="0" w:space="0" w:color="auto"/>
                    <w:left w:val="none" w:sz="0" w:space="0" w:color="auto"/>
                    <w:bottom w:val="none" w:sz="0" w:space="0" w:color="auto"/>
                    <w:right w:val="none" w:sz="0" w:space="0" w:color="auto"/>
                  </w:divBdr>
                  <w:divsChild>
                    <w:div w:id="208809451">
                      <w:marLeft w:val="0"/>
                      <w:marRight w:val="0"/>
                      <w:marTop w:val="0"/>
                      <w:marBottom w:val="0"/>
                      <w:divBdr>
                        <w:top w:val="none" w:sz="0" w:space="0" w:color="auto"/>
                        <w:left w:val="none" w:sz="0" w:space="0" w:color="auto"/>
                        <w:bottom w:val="none" w:sz="0" w:space="0" w:color="auto"/>
                        <w:right w:val="none" w:sz="0" w:space="0" w:color="auto"/>
                      </w:divBdr>
                    </w:div>
                    <w:div w:id="8315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39220">
      <w:bodyDiv w:val="1"/>
      <w:marLeft w:val="0"/>
      <w:marRight w:val="0"/>
      <w:marTop w:val="0"/>
      <w:marBottom w:val="0"/>
      <w:divBdr>
        <w:top w:val="none" w:sz="0" w:space="0" w:color="auto"/>
        <w:left w:val="none" w:sz="0" w:space="0" w:color="auto"/>
        <w:bottom w:val="none" w:sz="0" w:space="0" w:color="auto"/>
        <w:right w:val="none" w:sz="0" w:space="0" w:color="auto"/>
      </w:divBdr>
      <w:divsChild>
        <w:div w:id="181356217">
          <w:marLeft w:val="0"/>
          <w:marRight w:val="0"/>
          <w:marTop w:val="0"/>
          <w:marBottom w:val="0"/>
          <w:divBdr>
            <w:top w:val="none" w:sz="0" w:space="0" w:color="auto"/>
            <w:left w:val="none" w:sz="0" w:space="0" w:color="auto"/>
            <w:bottom w:val="none" w:sz="0" w:space="0" w:color="auto"/>
            <w:right w:val="none" w:sz="0" w:space="0" w:color="auto"/>
          </w:divBdr>
          <w:divsChild>
            <w:div w:id="1777014809">
              <w:marLeft w:val="0"/>
              <w:marRight w:val="0"/>
              <w:marTop w:val="0"/>
              <w:marBottom w:val="0"/>
              <w:divBdr>
                <w:top w:val="none" w:sz="0" w:space="0" w:color="auto"/>
                <w:left w:val="none" w:sz="0" w:space="0" w:color="auto"/>
                <w:bottom w:val="none" w:sz="0" w:space="0" w:color="auto"/>
                <w:right w:val="none" w:sz="0" w:space="0" w:color="auto"/>
              </w:divBdr>
              <w:divsChild>
                <w:div w:id="2072196663">
                  <w:marLeft w:val="0"/>
                  <w:marRight w:val="0"/>
                  <w:marTop w:val="0"/>
                  <w:marBottom w:val="0"/>
                  <w:divBdr>
                    <w:top w:val="none" w:sz="0" w:space="0" w:color="auto"/>
                    <w:left w:val="none" w:sz="0" w:space="0" w:color="auto"/>
                    <w:bottom w:val="none" w:sz="0" w:space="0" w:color="auto"/>
                    <w:right w:val="none" w:sz="0" w:space="0" w:color="auto"/>
                  </w:divBdr>
                  <w:divsChild>
                    <w:div w:id="6778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4835">
      <w:bodyDiv w:val="1"/>
      <w:marLeft w:val="0"/>
      <w:marRight w:val="0"/>
      <w:marTop w:val="0"/>
      <w:marBottom w:val="0"/>
      <w:divBdr>
        <w:top w:val="none" w:sz="0" w:space="0" w:color="auto"/>
        <w:left w:val="none" w:sz="0" w:space="0" w:color="auto"/>
        <w:bottom w:val="none" w:sz="0" w:space="0" w:color="auto"/>
        <w:right w:val="none" w:sz="0" w:space="0" w:color="auto"/>
      </w:divBdr>
    </w:div>
    <w:div w:id="1120563196">
      <w:bodyDiv w:val="1"/>
      <w:marLeft w:val="0"/>
      <w:marRight w:val="0"/>
      <w:marTop w:val="0"/>
      <w:marBottom w:val="0"/>
      <w:divBdr>
        <w:top w:val="none" w:sz="0" w:space="0" w:color="auto"/>
        <w:left w:val="none" w:sz="0" w:space="0" w:color="auto"/>
        <w:bottom w:val="none" w:sz="0" w:space="0" w:color="auto"/>
        <w:right w:val="none" w:sz="0" w:space="0" w:color="auto"/>
      </w:divBdr>
      <w:divsChild>
        <w:div w:id="376977106">
          <w:marLeft w:val="0"/>
          <w:marRight w:val="0"/>
          <w:marTop w:val="0"/>
          <w:marBottom w:val="0"/>
          <w:divBdr>
            <w:top w:val="none" w:sz="0" w:space="0" w:color="auto"/>
            <w:left w:val="none" w:sz="0" w:space="0" w:color="auto"/>
            <w:bottom w:val="none" w:sz="0" w:space="0" w:color="auto"/>
            <w:right w:val="none" w:sz="0" w:space="0" w:color="auto"/>
          </w:divBdr>
        </w:div>
        <w:div w:id="893782811">
          <w:marLeft w:val="0"/>
          <w:marRight w:val="0"/>
          <w:marTop w:val="240"/>
          <w:marBottom w:val="0"/>
          <w:divBdr>
            <w:top w:val="none" w:sz="0" w:space="0" w:color="auto"/>
            <w:left w:val="none" w:sz="0" w:space="0" w:color="auto"/>
            <w:bottom w:val="none" w:sz="0" w:space="0" w:color="auto"/>
            <w:right w:val="none" w:sz="0" w:space="0" w:color="auto"/>
          </w:divBdr>
          <w:divsChild>
            <w:div w:id="718549577">
              <w:marLeft w:val="0"/>
              <w:marRight w:val="0"/>
              <w:marTop w:val="0"/>
              <w:marBottom w:val="0"/>
              <w:divBdr>
                <w:top w:val="none" w:sz="0" w:space="0" w:color="auto"/>
                <w:left w:val="none" w:sz="0" w:space="0" w:color="auto"/>
                <w:bottom w:val="none" w:sz="0" w:space="0" w:color="auto"/>
                <w:right w:val="none" w:sz="0" w:space="0" w:color="auto"/>
              </w:divBdr>
            </w:div>
          </w:divsChild>
        </w:div>
        <w:div w:id="1579947330">
          <w:marLeft w:val="0"/>
          <w:marRight w:val="0"/>
          <w:marTop w:val="240"/>
          <w:marBottom w:val="0"/>
          <w:divBdr>
            <w:top w:val="none" w:sz="0" w:space="0" w:color="auto"/>
            <w:left w:val="none" w:sz="0" w:space="0" w:color="auto"/>
            <w:bottom w:val="none" w:sz="0" w:space="0" w:color="auto"/>
            <w:right w:val="none" w:sz="0" w:space="0" w:color="auto"/>
          </w:divBdr>
          <w:divsChild>
            <w:div w:id="108015058">
              <w:marLeft w:val="0"/>
              <w:marRight w:val="0"/>
              <w:marTop w:val="0"/>
              <w:marBottom w:val="0"/>
              <w:divBdr>
                <w:top w:val="none" w:sz="0" w:space="0" w:color="auto"/>
                <w:left w:val="none" w:sz="0" w:space="0" w:color="auto"/>
                <w:bottom w:val="none" w:sz="0" w:space="0" w:color="auto"/>
                <w:right w:val="none" w:sz="0" w:space="0" w:color="auto"/>
              </w:divBdr>
            </w:div>
          </w:divsChild>
        </w:div>
        <w:div w:id="628125252">
          <w:marLeft w:val="0"/>
          <w:marRight w:val="0"/>
          <w:marTop w:val="240"/>
          <w:marBottom w:val="0"/>
          <w:divBdr>
            <w:top w:val="none" w:sz="0" w:space="0" w:color="auto"/>
            <w:left w:val="none" w:sz="0" w:space="0" w:color="auto"/>
            <w:bottom w:val="none" w:sz="0" w:space="0" w:color="auto"/>
            <w:right w:val="none" w:sz="0" w:space="0" w:color="auto"/>
          </w:divBdr>
          <w:divsChild>
            <w:div w:id="311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4854">
      <w:bodyDiv w:val="1"/>
      <w:marLeft w:val="0"/>
      <w:marRight w:val="0"/>
      <w:marTop w:val="0"/>
      <w:marBottom w:val="0"/>
      <w:divBdr>
        <w:top w:val="none" w:sz="0" w:space="0" w:color="auto"/>
        <w:left w:val="none" w:sz="0" w:space="0" w:color="auto"/>
        <w:bottom w:val="none" w:sz="0" w:space="0" w:color="auto"/>
        <w:right w:val="none" w:sz="0" w:space="0" w:color="auto"/>
      </w:divBdr>
      <w:divsChild>
        <w:div w:id="102193016">
          <w:marLeft w:val="0"/>
          <w:marRight w:val="0"/>
          <w:marTop w:val="0"/>
          <w:marBottom w:val="0"/>
          <w:divBdr>
            <w:top w:val="none" w:sz="0" w:space="0" w:color="auto"/>
            <w:left w:val="none" w:sz="0" w:space="0" w:color="auto"/>
            <w:bottom w:val="none" w:sz="0" w:space="0" w:color="auto"/>
            <w:right w:val="none" w:sz="0" w:space="0" w:color="auto"/>
          </w:divBdr>
          <w:divsChild>
            <w:div w:id="74254757">
              <w:marLeft w:val="0"/>
              <w:marRight w:val="0"/>
              <w:marTop w:val="0"/>
              <w:marBottom w:val="0"/>
              <w:divBdr>
                <w:top w:val="none" w:sz="0" w:space="0" w:color="auto"/>
                <w:left w:val="none" w:sz="0" w:space="0" w:color="auto"/>
                <w:bottom w:val="none" w:sz="0" w:space="0" w:color="auto"/>
                <w:right w:val="none" w:sz="0" w:space="0" w:color="auto"/>
              </w:divBdr>
              <w:divsChild>
                <w:div w:id="2076783498">
                  <w:marLeft w:val="0"/>
                  <w:marRight w:val="0"/>
                  <w:marTop w:val="0"/>
                  <w:marBottom w:val="0"/>
                  <w:divBdr>
                    <w:top w:val="none" w:sz="0" w:space="0" w:color="auto"/>
                    <w:left w:val="none" w:sz="0" w:space="0" w:color="auto"/>
                    <w:bottom w:val="none" w:sz="0" w:space="0" w:color="auto"/>
                    <w:right w:val="none" w:sz="0" w:space="0" w:color="auto"/>
                  </w:divBdr>
                </w:div>
                <w:div w:id="1336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9181">
      <w:bodyDiv w:val="1"/>
      <w:marLeft w:val="0"/>
      <w:marRight w:val="0"/>
      <w:marTop w:val="0"/>
      <w:marBottom w:val="0"/>
      <w:divBdr>
        <w:top w:val="none" w:sz="0" w:space="0" w:color="auto"/>
        <w:left w:val="none" w:sz="0" w:space="0" w:color="auto"/>
        <w:bottom w:val="none" w:sz="0" w:space="0" w:color="auto"/>
        <w:right w:val="none" w:sz="0" w:space="0" w:color="auto"/>
      </w:divBdr>
    </w:div>
    <w:div w:id="1194149181">
      <w:bodyDiv w:val="1"/>
      <w:marLeft w:val="0"/>
      <w:marRight w:val="0"/>
      <w:marTop w:val="0"/>
      <w:marBottom w:val="0"/>
      <w:divBdr>
        <w:top w:val="none" w:sz="0" w:space="0" w:color="auto"/>
        <w:left w:val="none" w:sz="0" w:space="0" w:color="auto"/>
        <w:bottom w:val="none" w:sz="0" w:space="0" w:color="auto"/>
        <w:right w:val="none" w:sz="0" w:space="0" w:color="auto"/>
      </w:divBdr>
    </w:div>
    <w:div w:id="1196770953">
      <w:bodyDiv w:val="1"/>
      <w:marLeft w:val="0"/>
      <w:marRight w:val="0"/>
      <w:marTop w:val="0"/>
      <w:marBottom w:val="0"/>
      <w:divBdr>
        <w:top w:val="none" w:sz="0" w:space="0" w:color="auto"/>
        <w:left w:val="none" w:sz="0" w:space="0" w:color="auto"/>
        <w:bottom w:val="none" w:sz="0" w:space="0" w:color="auto"/>
        <w:right w:val="none" w:sz="0" w:space="0" w:color="auto"/>
      </w:divBdr>
      <w:divsChild>
        <w:div w:id="1942178293">
          <w:marLeft w:val="0"/>
          <w:marRight w:val="0"/>
          <w:marTop w:val="0"/>
          <w:marBottom w:val="0"/>
          <w:divBdr>
            <w:top w:val="none" w:sz="0" w:space="0" w:color="auto"/>
            <w:left w:val="none" w:sz="0" w:space="0" w:color="auto"/>
            <w:bottom w:val="none" w:sz="0" w:space="0" w:color="auto"/>
            <w:right w:val="none" w:sz="0" w:space="0" w:color="auto"/>
          </w:divBdr>
          <w:divsChild>
            <w:div w:id="1919553637">
              <w:marLeft w:val="0"/>
              <w:marRight w:val="0"/>
              <w:marTop w:val="0"/>
              <w:marBottom w:val="0"/>
              <w:divBdr>
                <w:top w:val="none" w:sz="0" w:space="0" w:color="auto"/>
                <w:left w:val="none" w:sz="0" w:space="0" w:color="auto"/>
                <w:bottom w:val="none" w:sz="0" w:space="0" w:color="auto"/>
                <w:right w:val="none" w:sz="0" w:space="0" w:color="auto"/>
              </w:divBdr>
              <w:divsChild>
                <w:div w:id="1164513877">
                  <w:marLeft w:val="0"/>
                  <w:marRight w:val="0"/>
                  <w:marTop w:val="0"/>
                  <w:marBottom w:val="0"/>
                  <w:divBdr>
                    <w:top w:val="none" w:sz="0" w:space="0" w:color="auto"/>
                    <w:left w:val="none" w:sz="0" w:space="0" w:color="auto"/>
                    <w:bottom w:val="none" w:sz="0" w:space="0" w:color="auto"/>
                    <w:right w:val="none" w:sz="0" w:space="0" w:color="auto"/>
                  </w:divBdr>
                </w:div>
                <w:div w:id="13630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4967">
      <w:bodyDiv w:val="1"/>
      <w:marLeft w:val="0"/>
      <w:marRight w:val="0"/>
      <w:marTop w:val="0"/>
      <w:marBottom w:val="0"/>
      <w:divBdr>
        <w:top w:val="none" w:sz="0" w:space="0" w:color="auto"/>
        <w:left w:val="none" w:sz="0" w:space="0" w:color="auto"/>
        <w:bottom w:val="none" w:sz="0" w:space="0" w:color="auto"/>
        <w:right w:val="none" w:sz="0" w:space="0" w:color="auto"/>
      </w:divBdr>
    </w:div>
    <w:div w:id="1348672244">
      <w:bodyDiv w:val="1"/>
      <w:marLeft w:val="0"/>
      <w:marRight w:val="0"/>
      <w:marTop w:val="0"/>
      <w:marBottom w:val="0"/>
      <w:divBdr>
        <w:top w:val="none" w:sz="0" w:space="0" w:color="auto"/>
        <w:left w:val="none" w:sz="0" w:space="0" w:color="auto"/>
        <w:bottom w:val="none" w:sz="0" w:space="0" w:color="auto"/>
        <w:right w:val="none" w:sz="0" w:space="0" w:color="auto"/>
      </w:divBdr>
    </w:div>
    <w:div w:id="1392997758">
      <w:bodyDiv w:val="1"/>
      <w:marLeft w:val="0"/>
      <w:marRight w:val="0"/>
      <w:marTop w:val="0"/>
      <w:marBottom w:val="0"/>
      <w:divBdr>
        <w:top w:val="none" w:sz="0" w:space="0" w:color="auto"/>
        <w:left w:val="none" w:sz="0" w:space="0" w:color="auto"/>
        <w:bottom w:val="none" w:sz="0" w:space="0" w:color="auto"/>
        <w:right w:val="none" w:sz="0" w:space="0" w:color="auto"/>
      </w:divBdr>
    </w:div>
    <w:div w:id="1403524300">
      <w:bodyDiv w:val="1"/>
      <w:marLeft w:val="0"/>
      <w:marRight w:val="0"/>
      <w:marTop w:val="0"/>
      <w:marBottom w:val="0"/>
      <w:divBdr>
        <w:top w:val="none" w:sz="0" w:space="0" w:color="auto"/>
        <w:left w:val="none" w:sz="0" w:space="0" w:color="auto"/>
        <w:bottom w:val="none" w:sz="0" w:space="0" w:color="auto"/>
        <w:right w:val="none" w:sz="0" w:space="0" w:color="auto"/>
      </w:divBdr>
    </w:div>
    <w:div w:id="1457987126">
      <w:bodyDiv w:val="1"/>
      <w:marLeft w:val="0"/>
      <w:marRight w:val="0"/>
      <w:marTop w:val="0"/>
      <w:marBottom w:val="0"/>
      <w:divBdr>
        <w:top w:val="none" w:sz="0" w:space="0" w:color="auto"/>
        <w:left w:val="none" w:sz="0" w:space="0" w:color="auto"/>
        <w:bottom w:val="none" w:sz="0" w:space="0" w:color="auto"/>
        <w:right w:val="none" w:sz="0" w:space="0" w:color="auto"/>
      </w:divBdr>
    </w:div>
    <w:div w:id="1486628601">
      <w:bodyDiv w:val="1"/>
      <w:marLeft w:val="0"/>
      <w:marRight w:val="0"/>
      <w:marTop w:val="0"/>
      <w:marBottom w:val="0"/>
      <w:divBdr>
        <w:top w:val="none" w:sz="0" w:space="0" w:color="auto"/>
        <w:left w:val="none" w:sz="0" w:space="0" w:color="auto"/>
        <w:bottom w:val="none" w:sz="0" w:space="0" w:color="auto"/>
        <w:right w:val="none" w:sz="0" w:space="0" w:color="auto"/>
      </w:divBdr>
    </w:div>
    <w:div w:id="1489008518">
      <w:bodyDiv w:val="1"/>
      <w:marLeft w:val="0"/>
      <w:marRight w:val="0"/>
      <w:marTop w:val="0"/>
      <w:marBottom w:val="0"/>
      <w:divBdr>
        <w:top w:val="none" w:sz="0" w:space="0" w:color="auto"/>
        <w:left w:val="none" w:sz="0" w:space="0" w:color="auto"/>
        <w:bottom w:val="none" w:sz="0" w:space="0" w:color="auto"/>
        <w:right w:val="none" w:sz="0" w:space="0" w:color="auto"/>
      </w:divBdr>
      <w:divsChild>
        <w:div w:id="1927154114">
          <w:marLeft w:val="0"/>
          <w:marRight w:val="0"/>
          <w:marTop w:val="0"/>
          <w:marBottom w:val="0"/>
          <w:divBdr>
            <w:top w:val="none" w:sz="0" w:space="0" w:color="auto"/>
            <w:left w:val="none" w:sz="0" w:space="0" w:color="auto"/>
            <w:bottom w:val="none" w:sz="0" w:space="0" w:color="auto"/>
            <w:right w:val="none" w:sz="0" w:space="0" w:color="auto"/>
          </w:divBdr>
          <w:divsChild>
            <w:div w:id="160850003">
              <w:marLeft w:val="0"/>
              <w:marRight w:val="0"/>
              <w:marTop w:val="0"/>
              <w:marBottom w:val="0"/>
              <w:divBdr>
                <w:top w:val="none" w:sz="0" w:space="0" w:color="auto"/>
                <w:left w:val="none" w:sz="0" w:space="0" w:color="auto"/>
                <w:bottom w:val="none" w:sz="0" w:space="0" w:color="auto"/>
                <w:right w:val="none" w:sz="0" w:space="0" w:color="auto"/>
              </w:divBdr>
              <w:divsChild>
                <w:div w:id="980816447">
                  <w:marLeft w:val="0"/>
                  <w:marRight w:val="0"/>
                  <w:marTop w:val="0"/>
                  <w:marBottom w:val="0"/>
                  <w:divBdr>
                    <w:top w:val="none" w:sz="0" w:space="0" w:color="auto"/>
                    <w:left w:val="none" w:sz="0" w:space="0" w:color="auto"/>
                    <w:bottom w:val="none" w:sz="0" w:space="0" w:color="auto"/>
                    <w:right w:val="none" w:sz="0" w:space="0" w:color="auto"/>
                  </w:divBdr>
                  <w:divsChild>
                    <w:div w:id="1976449339">
                      <w:marLeft w:val="0"/>
                      <w:marRight w:val="0"/>
                      <w:marTop w:val="0"/>
                      <w:marBottom w:val="0"/>
                      <w:divBdr>
                        <w:top w:val="none" w:sz="0" w:space="0" w:color="auto"/>
                        <w:left w:val="none" w:sz="0" w:space="0" w:color="auto"/>
                        <w:bottom w:val="none" w:sz="0" w:space="0" w:color="auto"/>
                        <w:right w:val="none" w:sz="0" w:space="0" w:color="auto"/>
                      </w:divBdr>
                    </w:div>
                    <w:div w:id="7278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57590">
      <w:bodyDiv w:val="1"/>
      <w:marLeft w:val="0"/>
      <w:marRight w:val="0"/>
      <w:marTop w:val="0"/>
      <w:marBottom w:val="0"/>
      <w:divBdr>
        <w:top w:val="none" w:sz="0" w:space="0" w:color="auto"/>
        <w:left w:val="none" w:sz="0" w:space="0" w:color="auto"/>
        <w:bottom w:val="none" w:sz="0" w:space="0" w:color="auto"/>
        <w:right w:val="none" w:sz="0" w:space="0" w:color="auto"/>
      </w:divBdr>
    </w:div>
    <w:div w:id="1615357958">
      <w:bodyDiv w:val="1"/>
      <w:marLeft w:val="0"/>
      <w:marRight w:val="0"/>
      <w:marTop w:val="0"/>
      <w:marBottom w:val="0"/>
      <w:divBdr>
        <w:top w:val="none" w:sz="0" w:space="0" w:color="auto"/>
        <w:left w:val="none" w:sz="0" w:space="0" w:color="auto"/>
        <w:bottom w:val="none" w:sz="0" w:space="0" w:color="auto"/>
        <w:right w:val="none" w:sz="0" w:space="0" w:color="auto"/>
      </w:divBdr>
    </w:div>
    <w:div w:id="1623727554">
      <w:bodyDiv w:val="1"/>
      <w:marLeft w:val="0"/>
      <w:marRight w:val="0"/>
      <w:marTop w:val="0"/>
      <w:marBottom w:val="0"/>
      <w:divBdr>
        <w:top w:val="none" w:sz="0" w:space="0" w:color="auto"/>
        <w:left w:val="none" w:sz="0" w:space="0" w:color="auto"/>
        <w:bottom w:val="none" w:sz="0" w:space="0" w:color="auto"/>
        <w:right w:val="none" w:sz="0" w:space="0" w:color="auto"/>
      </w:divBdr>
    </w:div>
    <w:div w:id="1625771201">
      <w:bodyDiv w:val="1"/>
      <w:marLeft w:val="0"/>
      <w:marRight w:val="0"/>
      <w:marTop w:val="0"/>
      <w:marBottom w:val="0"/>
      <w:divBdr>
        <w:top w:val="none" w:sz="0" w:space="0" w:color="auto"/>
        <w:left w:val="none" w:sz="0" w:space="0" w:color="auto"/>
        <w:bottom w:val="none" w:sz="0" w:space="0" w:color="auto"/>
        <w:right w:val="none" w:sz="0" w:space="0" w:color="auto"/>
      </w:divBdr>
    </w:div>
    <w:div w:id="1660843262">
      <w:bodyDiv w:val="1"/>
      <w:marLeft w:val="0"/>
      <w:marRight w:val="0"/>
      <w:marTop w:val="0"/>
      <w:marBottom w:val="0"/>
      <w:divBdr>
        <w:top w:val="none" w:sz="0" w:space="0" w:color="auto"/>
        <w:left w:val="none" w:sz="0" w:space="0" w:color="auto"/>
        <w:bottom w:val="none" w:sz="0" w:space="0" w:color="auto"/>
        <w:right w:val="none" w:sz="0" w:space="0" w:color="auto"/>
      </w:divBdr>
      <w:divsChild>
        <w:div w:id="55129935">
          <w:marLeft w:val="0"/>
          <w:marRight w:val="0"/>
          <w:marTop w:val="0"/>
          <w:marBottom w:val="0"/>
          <w:divBdr>
            <w:top w:val="none" w:sz="0" w:space="0" w:color="auto"/>
            <w:left w:val="none" w:sz="0" w:space="0" w:color="auto"/>
            <w:bottom w:val="none" w:sz="0" w:space="0" w:color="auto"/>
            <w:right w:val="none" w:sz="0" w:space="0" w:color="auto"/>
          </w:divBdr>
          <w:divsChild>
            <w:div w:id="747966749">
              <w:marLeft w:val="0"/>
              <w:marRight w:val="0"/>
              <w:marTop w:val="0"/>
              <w:marBottom w:val="0"/>
              <w:divBdr>
                <w:top w:val="none" w:sz="0" w:space="0" w:color="auto"/>
                <w:left w:val="none" w:sz="0" w:space="0" w:color="auto"/>
                <w:bottom w:val="none" w:sz="0" w:space="0" w:color="auto"/>
                <w:right w:val="none" w:sz="0" w:space="0" w:color="auto"/>
              </w:divBdr>
              <w:divsChild>
                <w:div w:id="1421608020">
                  <w:marLeft w:val="0"/>
                  <w:marRight w:val="0"/>
                  <w:marTop w:val="0"/>
                  <w:marBottom w:val="0"/>
                  <w:divBdr>
                    <w:top w:val="none" w:sz="0" w:space="0" w:color="auto"/>
                    <w:left w:val="none" w:sz="0" w:space="0" w:color="auto"/>
                    <w:bottom w:val="none" w:sz="0" w:space="0" w:color="auto"/>
                    <w:right w:val="none" w:sz="0" w:space="0" w:color="auto"/>
                  </w:divBdr>
                </w:div>
                <w:div w:id="1049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8073">
      <w:bodyDiv w:val="1"/>
      <w:marLeft w:val="0"/>
      <w:marRight w:val="0"/>
      <w:marTop w:val="0"/>
      <w:marBottom w:val="0"/>
      <w:divBdr>
        <w:top w:val="none" w:sz="0" w:space="0" w:color="auto"/>
        <w:left w:val="none" w:sz="0" w:space="0" w:color="auto"/>
        <w:bottom w:val="none" w:sz="0" w:space="0" w:color="auto"/>
        <w:right w:val="none" w:sz="0" w:space="0" w:color="auto"/>
      </w:divBdr>
      <w:divsChild>
        <w:div w:id="716466556">
          <w:marLeft w:val="0"/>
          <w:marRight w:val="0"/>
          <w:marTop w:val="0"/>
          <w:marBottom w:val="0"/>
          <w:divBdr>
            <w:top w:val="none" w:sz="0" w:space="0" w:color="auto"/>
            <w:left w:val="none" w:sz="0" w:space="0" w:color="auto"/>
            <w:bottom w:val="none" w:sz="0" w:space="0" w:color="auto"/>
            <w:right w:val="none" w:sz="0" w:space="0" w:color="auto"/>
          </w:divBdr>
          <w:divsChild>
            <w:div w:id="1222866353">
              <w:marLeft w:val="0"/>
              <w:marRight w:val="0"/>
              <w:marTop w:val="0"/>
              <w:marBottom w:val="0"/>
              <w:divBdr>
                <w:top w:val="none" w:sz="0" w:space="0" w:color="auto"/>
                <w:left w:val="none" w:sz="0" w:space="0" w:color="auto"/>
                <w:bottom w:val="none" w:sz="0" w:space="0" w:color="auto"/>
                <w:right w:val="none" w:sz="0" w:space="0" w:color="auto"/>
              </w:divBdr>
              <w:divsChild>
                <w:div w:id="1776436514">
                  <w:marLeft w:val="0"/>
                  <w:marRight w:val="0"/>
                  <w:marTop w:val="0"/>
                  <w:marBottom w:val="0"/>
                  <w:divBdr>
                    <w:top w:val="none" w:sz="0" w:space="0" w:color="auto"/>
                    <w:left w:val="none" w:sz="0" w:space="0" w:color="auto"/>
                    <w:bottom w:val="none" w:sz="0" w:space="0" w:color="auto"/>
                    <w:right w:val="none" w:sz="0" w:space="0" w:color="auto"/>
                  </w:divBdr>
                  <w:divsChild>
                    <w:div w:id="685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055">
      <w:bodyDiv w:val="1"/>
      <w:marLeft w:val="0"/>
      <w:marRight w:val="0"/>
      <w:marTop w:val="0"/>
      <w:marBottom w:val="0"/>
      <w:divBdr>
        <w:top w:val="none" w:sz="0" w:space="0" w:color="auto"/>
        <w:left w:val="none" w:sz="0" w:space="0" w:color="auto"/>
        <w:bottom w:val="none" w:sz="0" w:space="0" w:color="auto"/>
        <w:right w:val="none" w:sz="0" w:space="0" w:color="auto"/>
      </w:divBdr>
    </w:div>
    <w:div w:id="1871185232">
      <w:bodyDiv w:val="1"/>
      <w:marLeft w:val="0"/>
      <w:marRight w:val="0"/>
      <w:marTop w:val="0"/>
      <w:marBottom w:val="0"/>
      <w:divBdr>
        <w:top w:val="none" w:sz="0" w:space="0" w:color="auto"/>
        <w:left w:val="none" w:sz="0" w:space="0" w:color="auto"/>
        <w:bottom w:val="none" w:sz="0" w:space="0" w:color="auto"/>
        <w:right w:val="none" w:sz="0" w:space="0" w:color="auto"/>
      </w:divBdr>
    </w:div>
    <w:div w:id="2002466352">
      <w:bodyDiv w:val="1"/>
      <w:marLeft w:val="0"/>
      <w:marRight w:val="0"/>
      <w:marTop w:val="0"/>
      <w:marBottom w:val="0"/>
      <w:divBdr>
        <w:top w:val="none" w:sz="0" w:space="0" w:color="auto"/>
        <w:left w:val="none" w:sz="0" w:space="0" w:color="auto"/>
        <w:bottom w:val="none" w:sz="0" w:space="0" w:color="auto"/>
        <w:right w:val="none" w:sz="0" w:space="0" w:color="auto"/>
      </w:divBdr>
    </w:div>
    <w:div w:id="2019237327">
      <w:bodyDiv w:val="1"/>
      <w:marLeft w:val="0"/>
      <w:marRight w:val="0"/>
      <w:marTop w:val="0"/>
      <w:marBottom w:val="0"/>
      <w:divBdr>
        <w:top w:val="none" w:sz="0" w:space="0" w:color="auto"/>
        <w:left w:val="none" w:sz="0" w:space="0" w:color="auto"/>
        <w:bottom w:val="none" w:sz="0" w:space="0" w:color="auto"/>
        <w:right w:val="none" w:sz="0" w:space="0" w:color="auto"/>
      </w:divBdr>
    </w:div>
    <w:div w:id="2027322229">
      <w:bodyDiv w:val="1"/>
      <w:marLeft w:val="0"/>
      <w:marRight w:val="0"/>
      <w:marTop w:val="0"/>
      <w:marBottom w:val="0"/>
      <w:divBdr>
        <w:top w:val="none" w:sz="0" w:space="0" w:color="auto"/>
        <w:left w:val="none" w:sz="0" w:space="0" w:color="auto"/>
        <w:bottom w:val="none" w:sz="0" w:space="0" w:color="auto"/>
        <w:right w:val="none" w:sz="0" w:space="0" w:color="auto"/>
      </w:divBdr>
      <w:divsChild>
        <w:div w:id="939484494">
          <w:marLeft w:val="0"/>
          <w:marRight w:val="0"/>
          <w:marTop w:val="0"/>
          <w:marBottom w:val="0"/>
          <w:divBdr>
            <w:top w:val="none" w:sz="0" w:space="0" w:color="auto"/>
            <w:left w:val="none" w:sz="0" w:space="0" w:color="auto"/>
            <w:bottom w:val="none" w:sz="0" w:space="0" w:color="auto"/>
            <w:right w:val="none" w:sz="0" w:space="0" w:color="auto"/>
          </w:divBdr>
          <w:divsChild>
            <w:div w:id="1466389284">
              <w:marLeft w:val="0"/>
              <w:marRight w:val="0"/>
              <w:marTop w:val="0"/>
              <w:marBottom w:val="0"/>
              <w:divBdr>
                <w:top w:val="none" w:sz="0" w:space="0" w:color="auto"/>
                <w:left w:val="none" w:sz="0" w:space="0" w:color="auto"/>
                <w:bottom w:val="none" w:sz="0" w:space="0" w:color="auto"/>
                <w:right w:val="none" w:sz="0" w:space="0" w:color="auto"/>
              </w:divBdr>
              <w:divsChild>
                <w:div w:id="642660806">
                  <w:marLeft w:val="0"/>
                  <w:marRight w:val="0"/>
                  <w:marTop w:val="0"/>
                  <w:marBottom w:val="0"/>
                  <w:divBdr>
                    <w:top w:val="none" w:sz="0" w:space="0" w:color="auto"/>
                    <w:left w:val="none" w:sz="0" w:space="0" w:color="auto"/>
                    <w:bottom w:val="none" w:sz="0" w:space="0" w:color="auto"/>
                    <w:right w:val="none" w:sz="0" w:space="0" w:color="auto"/>
                  </w:divBdr>
                </w:div>
                <w:div w:id="18211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2967">
      <w:bodyDiv w:val="1"/>
      <w:marLeft w:val="0"/>
      <w:marRight w:val="0"/>
      <w:marTop w:val="0"/>
      <w:marBottom w:val="0"/>
      <w:divBdr>
        <w:top w:val="none" w:sz="0" w:space="0" w:color="auto"/>
        <w:left w:val="none" w:sz="0" w:space="0" w:color="auto"/>
        <w:bottom w:val="none" w:sz="0" w:space="0" w:color="auto"/>
        <w:right w:val="none" w:sz="0" w:space="0" w:color="auto"/>
      </w:divBdr>
    </w:div>
    <w:div w:id="2094424182">
      <w:bodyDiv w:val="1"/>
      <w:marLeft w:val="0"/>
      <w:marRight w:val="0"/>
      <w:marTop w:val="0"/>
      <w:marBottom w:val="0"/>
      <w:divBdr>
        <w:top w:val="none" w:sz="0" w:space="0" w:color="auto"/>
        <w:left w:val="none" w:sz="0" w:space="0" w:color="auto"/>
        <w:bottom w:val="none" w:sz="0" w:space="0" w:color="auto"/>
        <w:right w:val="none" w:sz="0" w:space="0" w:color="auto"/>
      </w:divBdr>
    </w:div>
    <w:div w:id="21469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uscg.mil/worklife/docs/pdf/HSWL_WL_roster.pdf" TargetMode="External"/><Relationship Id="rId3" Type="http://schemas.openxmlformats.org/officeDocument/2006/relationships/hyperlink" Target="http://www.ucmj.us/sub-chapter-10-punitive-articles/920-article-120-rape-and-carnal-knowledge" TargetMode="External"/><Relationship Id="rId7" Type="http://schemas.openxmlformats.org/officeDocument/2006/relationships/hyperlink" Target="https://www.dcms.uscg.mil/Portals/10/CG-1/cg111/docs/SAPR/SAPR_strat_plan.pdf?ver=2017-04-10-162927-503" TargetMode="External"/><Relationship Id="rId2" Type="http://schemas.openxmlformats.org/officeDocument/2006/relationships/hyperlink" Target="http://www.au.af.mil/au/awc/awcgate/ucmj2.htm" TargetMode="External"/><Relationship Id="rId1" Type="http://schemas.openxmlformats.org/officeDocument/2006/relationships/hyperlink" Target="https://www.thedailybeast.com/marital-rape-is-semi-legal-in-8-states" TargetMode="External"/><Relationship Id="rId6" Type="http://schemas.openxmlformats.org/officeDocument/2006/relationships/hyperlink" Target="https://www.dhs.gov/sites/default/files/publications/USCG%20-%20Sexual%20Assaults%20-%20Expedited%20Transfer%20and%20Special%20Victims%20Counsel%20Program.pdf" TargetMode="External"/><Relationship Id="rId11" Type="http://schemas.openxmlformats.org/officeDocument/2006/relationships/hyperlink" Target="https://obamawhitehouse.archives.gov/the-press-office/2016/10/01/presidential-proclamation-national-domestic-violence-awareness-month" TargetMode="External"/><Relationship Id="rId5" Type="http://schemas.openxmlformats.org/officeDocument/2006/relationships/hyperlink" Target="https://media.defense.gov/2017/Mar/15/2001716718/-1/-1/0/CI_5801_5.PDF" TargetMode="External"/><Relationship Id="rId10" Type="http://schemas.openxmlformats.org/officeDocument/2006/relationships/hyperlink" Target="https://www.dcms.uscg.mil/Portals/10/CG-1/cg111/docs/pdf/357-16_ALCOAST%5b1%5d.txt?ver=2017-04-29-084856-210" TargetMode="External"/><Relationship Id="rId4" Type="http://schemas.openxmlformats.org/officeDocument/2006/relationships/hyperlink" Target="https://media.defense.gov/2017/Mar/14/2001716375/-1/-1/0/CI_5520_5F.PDF" TargetMode="External"/><Relationship Id="rId9" Type="http://schemas.openxmlformats.org/officeDocument/2006/relationships/hyperlink" Target="https://www.dcms.uscg.mil/Our-Organization/Assistant-Commandant-for-Human-Resources-CG-1/Health-Safety-and-Work-Life-CG-11/Office-of-Work-Life-CG-111/Family-Advocac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0BAF0-6E26-6040-B7B1-C019D5CE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7040</Words>
  <Characters>40132</Characters>
  <Application>Microsoft Office Word</Application>
  <DocSecurity>8</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2018-11-12T03:06:00Z</cp:lastPrinted>
  <dcterms:created xsi:type="dcterms:W3CDTF">2019-06-05T20:02:00Z</dcterms:created>
  <dcterms:modified xsi:type="dcterms:W3CDTF">2019-06-05T20:02:00Z</dcterms:modified>
</cp:coreProperties>
</file>